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Wyk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skrótów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11</w:t>
      </w: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owadzenie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13</w:t>
      </w:r>
    </w:p>
    <w:p w:rsidR="0047067A" w:rsidRPr="003D153E" w:rsidRDefault="0047067A" w:rsidP="0047067A">
      <w:pPr>
        <w:ind w:left="107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="0047067A"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Niepocz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alno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ść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syst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em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śr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odków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abe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zpieczających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21</w:t>
      </w:r>
    </w:p>
    <w:p w:rsidR="00F948D4" w:rsidRPr="003D153E" w:rsidRDefault="003D153E" w:rsidP="0047067A">
      <w:pPr>
        <w:numPr>
          <w:ilvl w:val="0"/>
          <w:numId w:val="6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Niepocz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oria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prawna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21</w:t>
      </w:r>
    </w:p>
    <w:p w:rsidR="00F948D4" w:rsidRPr="003D153E" w:rsidRDefault="003D153E" w:rsidP="0047067A">
      <w:pPr>
        <w:numPr>
          <w:ilvl w:val="1"/>
          <w:numId w:val="6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Niepocz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zdolność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udziału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karnym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35</w:t>
      </w:r>
    </w:p>
    <w:p w:rsidR="00F948D4" w:rsidRPr="003D153E" w:rsidRDefault="003D153E" w:rsidP="0047067A">
      <w:pPr>
        <w:numPr>
          <w:ilvl w:val="0"/>
          <w:numId w:val="6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Niepocz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znaczeniu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yczno-psychologicznym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37</w:t>
      </w:r>
    </w:p>
    <w:p w:rsidR="00F948D4" w:rsidRPr="003D153E" w:rsidRDefault="003D153E" w:rsidP="0047067A">
      <w:pPr>
        <w:numPr>
          <w:ilvl w:val="0"/>
          <w:numId w:val="6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Sys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środk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zabezpieczających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39</w:t>
      </w:r>
    </w:p>
    <w:p w:rsidR="0047067A" w:rsidRPr="003D153E" w:rsidRDefault="0047067A" w:rsidP="0047067A">
      <w:pPr>
        <w:ind w:left="107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47067A">
      <w:pPr>
        <w:ind w:left="107"/>
        <w:rPr>
          <w:rFonts w:ascii="Cambria" w:eastAsia="News706 BT" w:hAnsi="Cambria" w:cs="News706 BT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II</w:t>
      </w:r>
      <w:r w:rsidR="0047067A"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Opiniowanie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psychiatryczne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49</w:t>
      </w:r>
    </w:p>
    <w:p w:rsidR="00F948D4" w:rsidRPr="003D153E" w:rsidRDefault="003D153E" w:rsidP="0047067A">
      <w:pPr>
        <w:numPr>
          <w:ilvl w:val="0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Badanie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psychiatryczne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49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Badanie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ambulatoryjne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49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Obserwacja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psychiatryczna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53</w:t>
      </w:r>
    </w:p>
    <w:p w:rsidR="00F948D4" w:rsidRPr="003D153E" w:rsidRDefault="003D153E" w:rsidP="0047067A">
      <w:pPr>
        <w:numPr>
          <w:ilvl w:val="2"/>
          <w:numId w:val="5"/>
        </w:numPr>
        <w:ind w:hanging="5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Charakter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obserwacji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psychiatrycznej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53</w:t>
      </w:r>
    </w:p>
    <w:p w:rsidR="00F948D4" w:rsidRPr="003D153E" w:rsidRDefault="003D153E" w:rsidP="0047067A">
      <w:pPr>
        <w:numPr>
          <w:ilvl w:val="2"/>
          <w:numId w:val="5"/>
        </w:numPr>
        <w:ind w:hanging="5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Przesłanki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obserwacji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57</w:t>
      </w:r>
    </w:p>
    <w:p w:rsidR="00F948D4" w:rsidRPr="003D153E" w:rsidRDefault="003D153E" w:rsidP="0047067A">
      <w:pPr>
        <w:numPr>
          <w:ilvl w:val="2"/>
          <w:numId w:val="5"/>
        </w:numPr>
        <w:ind w:hanging="5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Postanowienie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przedmiocie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obserwacji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psychiatrycznej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69</w:t>
      </w:r>
    </w:p>
    <w:p w:rsidR="00F948D4" w:rsidRPr="003D153E" w:rsidRDefault="003D153E" w:rsidP="0047067A">
      <w:pPr>
        <w:numPr>
          <w:ilvl w:val="2"/>
          <w:numId w:val="5"/>
        </w:numPr>
        <w:ind w:hanging="5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Zask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żalność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anowienia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przedmiocie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obserwacji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76</w:t>
      </w:r>
    </w:p>
    <w:p w:rsidR="00F948D4" w:rsidRPr="003D153E" w:rsidRDefault="003D153E" w:rsidP="0047067A">
      <w:pPr>
        <w:numPr>
          <w:ilvl w:val="2"/>
          <w:numId w:val="5"/>
        </w:numPr>
        <w:ind w:hanging="5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Postulaty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de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lege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f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erenda</w:t>
      </w:r>
      <w:proofErr w:type="spellEnd"/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81</w:t>
      </w:r>
    </w:p>
    <w:p w:rsidR="00F948D4" w:rsidRPr="003D153E" w:rsidRDefault="003D153E" w:rsidP="0047067A">
      <w:pPr>
        <w:numPr>
          <w:ilvl w:val="0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sądowo-psychiatryczna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84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Zakr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podmio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towy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przedmio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towy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-psychia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84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Przesłanki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dopuszczenia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odu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-psychia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88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Charak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-psychia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91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Elementy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(s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truktura)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95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pełna,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jasna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niesprzeczna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102</w:t>
      </w:r>
    </w:p>
    <w:p w:rsidR="00F948D4" w:rsidRPr="003D153E" w:rsidRDefault="003D153E" w:rsidP="0047067A">
      <w:pPr>
        <w:numPr>
          <w:ilvl w:val="1"/>
          <w:numId w:val="5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Postulaty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de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lege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f</w:t>
      </w:r>
      <w:r w:rsidRPr="003D153E">
        <w:rPr>
          <w:rFonts w:ascii="Cambria" w:hAnsi="Cambria"/>
          <w:i/>
          <w:color w:val="231F20"/>
          <w:sz w:val="20"/>
          <w:szCs w:val="20"/>
          <w:lang w:val="pl-PL"/>
        </w:rPr>
        <w:t>erenda</w:t>
      </w:r>
      <w:proofErr w:type="spellEnd"/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104</w:t>
      </w:r>
    </w:p>
    <w:p w:rsidR="003D153E" w:rsidRPr="003D153E" w:rsidRDefault="003D153E" w:rsidP="0047067A">
      <w:pPr>
        <w:ind w:left="110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3D153E">
      <w:pPr>
        <w:ind w:left="1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III</w:t>
      </w:r>
      <w:r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Wnio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sek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prokuratora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umorzenie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postępowania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i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zast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sowanie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środk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ó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w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zabezpieczających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(art.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324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§1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Kodeksu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postępowania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karnego)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ab/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107</w:t>
      </w:r>
    </w:p>
    <w:p w:rsidR="00F948D4" w:rsidRPr="003D153E" w:rsidRDefault="003D153E" w:rsidP="0047067A">
      <w:pPr>
        <w:numPr>
          <w:ilvl w:val="0"/>
          <w:numId w:val="4"/>
        </w:numPr>
        <w:ind w:right="82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Przesłanki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wyst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ąpienia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wnioskiem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umor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enie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tępow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i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zas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oso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wanie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środk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ów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zabezpieczających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na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pods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tawie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art.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324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§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1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Kodeksu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tępow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arunki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dopuszczalności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przedmiocie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107</w:t>
      </w:r>
    </w:p>
    <w:p w:rsidR="00F948D4" w:rsidRPr="003D153E" w:rsidRDefault="003D153E" w:rsidP="0047067A">
      <w:pPr>
        <w:numPr>
          <w:ilvl w:val="0"/>
          <w:numId w:val="4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Charak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umor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środk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zabezpie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czających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110</w:t>
      </w:r>
    </w:p>
    <w:p w:rsidR="00F948D4" w:rsidRPr="003D153E" w:rsidRDefault="003D153E" w:rsidP="0047067A">
      <w:pPr>
        <w:numPr>
          <w:ilvl w:val="0"/>
          <w:numId w:val="4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Charak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ter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przedmiocie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tor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umor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środk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zabezpieczających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122</w:t>
      </w:r>
    </w:p>
    <w:p w:rsidR="003D153E" w:rsidRPr="003D153E" w:rsidRDefault="003D153E" w:rsidP="0047067A">
      <w:pPr>
        <w:ind w:left="110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3D153E">
      <w:pPr>
        <w:ind w:left="1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IV</w:t>
      </w:r>
      <w:r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Przebieg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postępowania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zainicjowaneg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wnioskiem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złożonym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na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podstawie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art.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324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§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1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Kodeksu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postępowania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karneg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ab/>
      </w:r>
      <w:r w:rsidRPr="003D153E">
        <w:rPr>
          <w:rFonts w:ascii="Cambria" w:eastAsia="Calibri" w:hAnsi="Cambria" w:cs="Calibri"/>
          <w:b/>
          <w:bCs/>
          <w:color w:val="231F20"/>
          <w:sz w:val="20"/>
          <w:szCs w:val="20"/>
          <w:lang w:val="pl-PL"/>
        </w:rPr>
        <w:t>137</w:t>
      </w:r>
    </w:p>
    <w:p w:rsidR="00F948D4" w:rsidRPr="003D153E" w:rsidRDefault="003D153E" w:rsidP="0047067A">
      <w:pPr>
        <w:numPr>
          <w:ilvl w:val="0"/>
          <w:numId w:val="3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Właściw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skład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  <w:t>137</w:t>
      </w:r>
    </w:p>
    <w:p w:rsidR="00F948D4" w:rsidRPr="003D153E" w:rsidRDefault="003D153E" w:rsidP="0047067A">
      <w:pPr>
        <w:numPr>
          <w:ilvl w:val="0"/>
          <w:numId w:val="3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Wst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ępna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ontr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ola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umor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środk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bezpieczających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144</w:t>
      </w:r>
    </w:p>
    <w:p w:rsidR="00F948D4" w:rsidRPr="003D153E" w:rsidRDefault="003D153E" w:rsidP="0047067A">
      <w:pPr>
        <w:numPr>
          <w:ilvl w:val="0"/>
          <w:numId w:val="3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Posiedzenie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trybie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art.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354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pkt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Kodeksu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postępowania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karnego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156</w:t>
      </w:r>
    </w:p>
    <w:p w:rsidR="00F948D4" w:rsidRPr="003D153E" w:rsidRDefault="003D153E" w:rsidP="0047067A">
      <w:pPr>
        <w:numPr>
          <w:ilvl w:val="0"/>
          <w:numId w:val="3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zpoznanie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umor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środk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zabez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pieczających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głó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182</w:t>
      </w:r>
    </w:p>
    <w:p w:rsidR="00F948D4" w:rsidRPr="003D153E" w:rsidRDefault="003D153E" w:rsidP="0047067A">
      <w:pPr>
        <w:numPr>
          <w:ilvl w:val="0"/>
          <w:numId w:val="3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Or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zeczenia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kończąc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tępow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anie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wszcz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ęte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na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pods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tawie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wniosku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złoż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one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g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na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pods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tawie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art.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324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§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1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Kodeksu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pos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tępow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arne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g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ab/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193</w:t>
      </w:r>
    </w:p>
    <w:p w:rsidR="003D153E" w:rsidRPr="003D153E" w:rsidRDefault="003D153E" w:rsidP="0047067A">
      <w:pPr>
        <w:ind w:left="110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47067A">
      <w:pPr>
        <w:ind w:left="1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V</w:t>
      </w:r>
      <w:r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Praw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niepoczytalnego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sprawcy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rz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e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telneg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procesu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karneg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203</w:t>
      </w:r>
    </w:p>
    <w:p w:rsidR="00F948D4" w:rsidRPr="003D153E" w:rsidRDefault="003D153E" w:rsidP="003D153E">
      <w:pPr>
        <w:numPr>
          <w:ilvl w:val="0"/>
          <w:numId w:val="7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etelne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procesu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edług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Konstytucji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RP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encji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lastRenderedPageBreak/>
        <w:t>Ochro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Człowieka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Pods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tawowy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Wolności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  <w:t>203</w:t>
      </w:r>
    </w:p>
    <w:p w:rsidR="00F948D4" w:rsidRPr="003D153E" w:rsidRDefault="003D153E" w:rsidP="003D153E">
      <w:pPr>
        <w:numPr>
          <w:ilvl w:val="0"/>
          <w:numId w:val="7"/>
        </w:numPr>
        <w:ind w:right="105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alizacja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konstytucy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ency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niepocz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alneg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etelne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procesu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gruncie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Kodeksu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209</w:t>
      </w:r>
    </w:p>
    <w:p w:rsidR="00F948D4" w:rsidRPr="003D153E" w:rsidRDefault="003D153E" w:rsidP="003D153E">
      <w:pPr>
        <w:numPr>
          <w:ilvl w:val="0"/>
          <w:numId w:val="7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Obrona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obligatoryjna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214</w:t>
      </w:r>
    </w:p>
    <w:p w:rsidR="00F948D4" w:rsidRPr="003D153E" w:rsidRDefault="003D153E" w:rsidP="003D153E">
      <w:pPr>
        <w:numPr>
          <w:ilvl w:val="0"/>
          <w:numId w:val="7"/>
        </w:numPr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Niez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udziału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lub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adzenia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spo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sób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samodzielny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zsądny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pods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zawieszenia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226</w:t>
      </w:r>
    </w:p>
    <w:p w:rsidR="003D153E" w:rsidRPr="003D153E" w:rsidRDefault="003D153E" w:rsidP="0047067A">
      <w:pPr>
        <w:ind w:left="110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47067A">
      <w:pPr>
        <w:ind w:left="110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VI</w:t>
      </w:r>
      <w:r w:rsidRPr="003D153E">
        <w:rPr>
          <w:rFonts w:ascii="Cambria" w:eastAsia="Calibri" w:hAnsi="Cambria" w:cs="Calibri"/>
          <w:sz w:val="20"/>
          <w:szCs w:val="20"/>
          <w:lang w:val="pl-PL"/>
        </w:rPr>
        <w:t xml:space="preserve">.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Studia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przypadk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ó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b/>
          <w:color w:val="231F20"/>
          <w:sz w:val="20"/>
          <w:szCs w:val="20"/>
          <w:lang w:val="pl-PL"/>
        </w:rPr>
        <w:t>237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Wpr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owadzenie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237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przypadku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ogranicz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eniem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alności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znacznym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wsk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poznanej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schizofrenii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paranoidalnej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238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przypadku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nieznacznym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ogranicz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yt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alności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246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przypadku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symulo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aniem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objaw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249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Wró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żbiars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two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jak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met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oda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badań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ód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odzinneg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ośrodka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diagno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styczno-konsultacyjnego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(RODK)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  <w:t>254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twier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opinii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tr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ycznej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konieczności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„leczenia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odwykowe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g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o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w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za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kładzie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s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t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acjonarnym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”</w:t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ab/>
      </w:r>
      <w:r w:rsidRPr="003D153E">
        <w:rPr>
          <w:rFonts w:ascii="Cambria" w:eastAsia="Calibri" w:hAnsi="Cambria" w:cs="Calibri"/>
          <w:color w:val="231F20"/>
          <w:sz w:val="20"/>
          <w:szCs w:val="20"/>
          <w:lang w:val="pl-PL"/>
        </w:rPr>
        <w:t>262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</w:t>
      </w:r>
      <w:bookmarkStart w:id="0" w:name="_GoBack"/>
      <w:bookmarkEnd w:id="0"/>
      <w:r w:rsidRPr="003D153E">
        <w:rPr>
          <w:rFonts w:ascii="Cambria" w:hAnsi="Cambria"/>
          <w:color w:val="231F20"/>
          <w:sz w:val="20"/>
          <w:szCs w:val="20"/>
          <w:lang w:val="pl-PL"/>
        </w:rPr>
        <w:t>rzypadku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zakw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tiono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aniem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przez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biegłych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cześniejsz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ro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zpoznania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psychozy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schizofrenicznej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265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Zdolność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udziału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ż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uzależnioneg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od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lek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nasen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kojących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czasie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trwania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epizodu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depresyjne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272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Udział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tępow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ż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tzw.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zespołem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pła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czoło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275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Opiniowanie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sądowo-psychiatryczne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postępowaniu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wydanie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wyroku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łącznego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277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Zaświadcz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lek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o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niemożności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osk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ar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ż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one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awienia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się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dzie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odu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zaburzenia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psychiczneg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opinia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biegłych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psychia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(art.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202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k.p.k.)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  <w:t>280</w:t>
      </w:r>
    </w:p>
    <w:p w:rsidR="00F948D4" w:rsidRPr="003D153E" w:rsidRDefault="003D153E" w:rsidP="003D153E">
      <w:pPr>
        <w:numPr>
          <w:ilvl w:val="0"/>
          <w:numId w:val="1"/>
        </w:numPr>
        <w:ind w:left="426" w:hanging="316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Wnioski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końcowe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286</w:t>
      </w:r>
    </w:p>
    <w:p w:rsidR="003D153E" w:rsidRPr="003D153E" w:rsidRDefault="003D153E" w:rsidP="0047067A">
      <w:pPr>
        <w:ind w:left="107"/>
        <w:rPr>
          <w:rFonts w:ascii="Cambria" w:hAnsi="Cambria"/>
          <w:color w:val="231F20"/>
          <w:sz w:val="20"/>
          <w:szCs w:val="20"/>
          <w:lang w:val="pl-PL"/>
        </w:rPr>
      </w:pP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Zakończenie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291</w:t>
      </w: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Bibliografia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297</w:t>
      </w: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Wyk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orzecznictwa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sądów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314</w:t>
      </w:r>
    </w:p>
    <w:p w:rsidR="00F948D4" w:rsidRPr="003D153E" w:rsidRDefault="003D153E" w:rsidP="0047067A">
      <w:pPr>
        <w:ind w:left="107"/>
        <w:rPr>
          <w:rFonts w:ascii="Cambria" w:eastAsia="Calibri" w:hAnsi="Cambria" w:cs="Calibri"/>
          <w:sz w:val="20"/>
          <w:szCs w:val="20"/>
          <w:lang w:val="pl-PL"/>
        </w:rPr>
      </w:pPr>
      <w:r w:rsidRPr="003D153E">
        <w:rPr>
          <w:rFonts w:ascii="Cambria" w:hAnsi="Cambria"/>
          <w:color w:val="231F20"/>
          <w:sz w:val="20"/>
          <w:szCs w:val="20"/>
          <w:lang w:val="pl-PL"/>
        </w:rPr>
        <w:t>Wyk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az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orzecznictwa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>trybunałów</w:t>
      </w:r>
      <w:r w:rsidRPr="003D153E">
        <w:rPr>
          <w:rFonts w:ascii="Cambria" w:hAnsi="Cambria"/>
          <w:color w:val="231F20"/>
          <w:sz w:val="20"/>
          <w:szCs w:val="20"/>
          <w:lang w:val="pl-PL"/>
        </w:rPr>
        <w:tab/>
        <w:t>319</w:t>
      </w:r>
    </w:p>
    <w:sectPr w:rsidR="00F948D4" w:rsidRPr="003D153E">
      <w:pgSz w:w="9530" w:h="13610"/>
      <w:pgMar w:top="64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706 BT">
    <w:altName w:val="News706 BT"/>
    <w:panose1 w:val="020408040607050202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82F"/>
    <w:multiLevelType w:val="multilevel"/>
    <w:tmpl w:val="E64EC348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674" w:hanging="312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184" w:hanging="511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1949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9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4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9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4" w:hanging="511"/>
      </w:pPr>
      <w:rPr>
        <w:rFonts w:hint="default"/>
      </w:rPr>
    </w:lvl>
  </w:abstractNum>
  <w:abstractNum w:abstractNumId="1">
    <w:nsid w:val="12BB450F"/>
    <w:multiLevelType w:val="hybridMultilevel"/>
    <w:tmpl w:val="1F685156"/>
    <w:lvl w:ilvl="0" w:tplc="D4D80E00">
      <w:start w:val="1"/>
      <w:numFmt w:val="decimal"/>
      <w:lvlText w:val="%1."/>
      <w:lvlJc w:val="left"/>
      <w:pPr>
        <w:ind w:left="350" w:hanging="240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1" w:tplc="7A2A3EF0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 w:tplc="C896CFBE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3" w:tplc="4B2A1DFA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4" w:tplc="6F72CBEC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5" w:tplc="A64ADE28">
      <w:start w:val="1"/>
      <w:numFmt w:val="bullet"/>
      <w:lvlText w:val="•"/>
      <w:lvlJc w:val="left"/>
      <w:pPr>
        <w:ind w:left="3827" w:hanging="240"/>
      </w:pPr>
      <w:rPr>
        <w:rFonts w:hint="default"/>
      </w:rPr>
    </w:lvl>
    <w:lvl w:ilvl="6" w:tplc="62665884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7" w:tplc="5CF20A8E">
      <w:start w:val="1"/>
      <w:numFmt w:val="bullet"/>
      <w:lvlText w:val="•"/>
      <w:lvlJc w:val="left"/>
      <w:pPr>
        <w:ind w:left="5218" w:hanging="240"/>
      </w:pPr>
      <w:rPr>
        <w:rFonts w:hint="default"/>
      </w:rPr>
    </w:lvl>
    <w:lvl w:ilvl="8" w:tplc="241A6BA6">
      <w:start w:val="1"/>
      <w:numFmt w:val="bullet"/>
      <w:lvlText w:val="•"/>
      <w:lvlJc w:val="left"/>
      <w:pPr>
        <w:ind w:left="5913" w:hanging="240"/>
      </w:pPr>
      <w:rPr>
        <w:rFonts w:hint="default"/>
      </w:rPr>
    </w:lvl>
  </w:abstractNum>
  <w:abstractNum w:abstractNumId="2">
    <w:nsid w:val="2DF12520"/>
    <w:multiLevelType w:val="hybridMultilevel"/>
    <w:tmpl w:val="4F6096BC"/>
    <w:lvl w:ilvl="0" w:tplc="539E4B74">
      <w:start w:val="1"/>
      <w:numFmt w:val="decimal"/>
      <w:lvlText w:val="%1."/>
      <w:lvlJc w:val="left"/>
      <w:pPr>
        <w:ind w:left="350" w:hanging="240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1" w:tplc="4E5C75A8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 w:tplc="2ABE2182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3" w:tplc="E63AF314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4" w:tplc="053ADFFE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5" w:tplc="CE30C206">
      <w:start w:val="1"/>
      <w:numFmt w:val="bullet"/>
      <w:lvlText w:val="•"/>
      <w:lvlJc w:val="left"/>
      <w:pPr>
        <w:ind w:left="3827" w:hanging="240"/>
      </w:pPr>
      <w:rPr>
        <w:rFonts w:hint="default"/>
      </w:rPr>
    </w:lvl>
    <w:lvl w:ilvl="6" w:tplc="DD6AC7F2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7" w:tplc="37F6454C">
      <w:start w:val="1"/>
      <w:numFmt w:val="bullet"/>
      <w:lvlText w:val="•"/>
      <w:lvlJc w:val="left"/>
      <w:pPr>
        <w:ind w:left="5218" w:hanging="240"/>
      </w:pPr>
      <w:rPr>
        <w:rFonts w:hint="default"/>
      </w:rPr>
    </w:lvl>
    <w:lvl w:ilvl="8" w:tplc="E8DE4D2C">
      <w:start w:val="1"/>
      <w:numFmt w:val="bullet"/>
      <w:lvlText w:val="•"/>
      <w:lvlJc w:val="left"/>
      <w:pPr>
        <w:ind w:left="5913" w:hanging="240"/>
      </w:pPr>
      <w:rPr>
        <w:rFonts w:hint="default"/>
      </w:rPr>
    </w:lvl>
  </w:abstractNum>
  <w:abstractNum w:abstractNumId="3">
    <w:nsid w:val="2ECD198B"/>
    <w:multiLevelType w:val="hybridMultilevel"/>
    <w:tmpl w:val="1C901DD2"/>
    <w:lvl w:ilvl="0" w:tplc="82568AAE">
      <w:start w:val="1"/>
      <w:numFmt w:val="decimal"/>
      <w:lvlText w:val="%1."/>
      <w:lvlJc w:val="left"/>
      <w:pPr>
        <w:ind w:left="350" w:hanging="240"/>
      </w:pPr>
      <w:rPr>
        <w:rFonts w:asciiTheme="majorHAnsi" w:eastAsia="Calibri" w:hAnsiTheme="majorHAnsi" w:hint="default"/>
        <w:color w:val="231F20"/>
        <w:w w:val="98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2F19"/>
    <w:multiLevelType w:val="multilevel"/>
    <w:tmpl w:val="CF301100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Cambria" w:eastAsia="Calibri" w:hAnsi="Cambria" w:hint="default"/>
        <w:color w:val="231F20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674" w:hanging="312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1" w:hanging="312"/>
      </w:pPr>
      <w:rPr>
        <w:rFonts w:hint="default"/>
      </w:rPr>
    </w:lvl>
  </w:abstractNum>
  <w:abstractNum w:abstractNumId="5">
    <w:nsid w:val="6F9E516D"/>
    <w:multiLevelType w:val="hybridMultilevel"/>
    <w:tmpl w:val="16D4291A"/>
    <w:lvl w:ilvl="0" w:tplc="3BCA2B12">
      <w:start w:val="2"/>
      <w:numFmt w:val="decimal"/>
      <w:lvlText w:val="%1."/>
      <w:lvlJc w:val="left"/>
      <w:pPr>
        <w:ind w:left="350" w:hanging="2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BC60318E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 w:tplc="91667458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3" w:tplc="EA5EA48A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4" w:tplc="C90C4500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5" w:tplc="9656FA52">
      <w:start w:val="1"/>
      <w:numFmt w:val="bullet"/>
      <w:lvlText w:val="•"/>
      <w:lvlJc w:val="left"/>
      <w:pPr>
        <w:ind w:left="3827" w:hanging="240"/>
      </w:pPr>
      <w:rPr>
        <w:rFonts w:hint="default"/>
      </w:rPr>
    </w:lvl>
    <w:lvl w:ilvl="6" w:tplc="CC00A6F6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7" w:tplc="CCAA13FE">
      <w:start w:val="1"/>
      <w:numFmt w:val="bullet"/>
      <w:lvlText w:val="•"/>
      <w:lvlJc w:val="left"/>
      <w:pPr>
        <w:ind w:left="5218" w:hanging="240"/>
      </w:pPr>
      <w:rPr>
        <w:rFonts w:hint="default"/>
      </w:rPr>
    </w:lvl>
    <w:lvl w:ilvl="8" w:tplc="65A49FAE">
      <w:start w:val="1"/>
      <w:numFmt w:val="bullet"/>
      <w:lvlText w:val="•"/>
      <w:lvlJc w:val="left"/>
      <w:pPr>
        <w:ind w:left="5913" w:hanging="240"/>
      </w:pPr>
      <w:rPr>
        <w:rFonts w:hint="default"/>
      </w:rPr>
    </w:lvl>
  </w:abstractNum>
  <w:abstractNum w:abstractNumId="6">
    <w:nsid w:val="7DD17E04"/>
    <w:multiLevelType w:val="hybridMultilevel"/>
    <w:tmpl w:val="33A801EA"/>
    <w:lvl w:ilvl="0" w:tplc="B6DC866C">
      <w:start w:val="1"/>
      <w:numFmt w:val="decimal"/>
      <w:lvlText w:val="%1."/>
      <w:lvlJc w:val="left"/>
      <w:pPr>
        <w:ind w:left="350" w:hanging="240"/>
        <w:jc w:val="left"/>
      </w:pPr>
      <w:rPr>
        <w:rFonts w:asciiTheme="majorHAnsi" w:eastAsia="Calibri" w:hAnsiTheme="majorHAnsi" w:hint="default"/>
        <w:color w:val="231F20"/>
        <w:w w:val="98"/>
        <w:sz w:val="20"/>
        <w:szCs w:val="20"/>
      </w:rPr>
    </w:lvl>
    <w:lvl w:ilvl="1" w:tplc="F77ACD54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 w:tplc="A51EECB0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3" w:tplc="9B5EFDA4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4" w:tplc="22823E20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5" w:tplc="D076C5E8">
      <w:start w:val="1"/>
      <w:numFmt w:val="bullet"/>
      <w:lvlText w:val="•"/>
      <w:lvlJc w:val="left"/>
      <w:pPr>
        <w:ind w:left="3827" w:hanging="240"/>
      </w:pPr>
      <w:rPr>
        <w:rFonts w:hint="default"/>
      </w:rPr>
    </w:lvl>
    <w:lvl w:ilvl="6" w:tplc="D07A5AE8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7" w:tplc="FE0EF77C">
      <w:start w:val="1"/>
      <w:numFmt w:val="bullet"/>
      <w:lvlText w:val="•"/>
      <w:lvlJc w:val="left"/>
      <w:pPr>
        <w:ind w:left="5218" w:hanging="240"/>
      </w:pPr>
      <w:rPr>
        <w:rFonts w:hint="default"/>
      </w:rPr>
    </w:lvl>
    <w:lvl w:ilvl="8" w:tplc="F7088BA0">
      <w:start w:val="1"/>
      <w:numFmt w:val="bullet"/>
      <w:lvlText w:val="•"/>
      <w:lvlJc w:val="left"/>
      <w:pPr>
        <w:ind w:left="5913" w:hanging="2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48D4"/>
    <w:rsid w:val="003D153E"/>
    <w:rsid w:val="0047067A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10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2018-10-30T08:03:00Z</dcterms:created>
  <dcterms:modified xsi:type="dcterms:W3CDTF">2018-10-30T07:12:00Z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