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BF" w:rsidRDefault="007A04BF" w:rsidP="007A04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Style w:val="Pogrubienie"/>
          <w:rFonts w:ascii="Arial" w:hAnsi="Arial" w:cs="Arial"/>
          <w:color w:val="5A5A5A"/>
          <w:sz w:val="23"/>
          <w:szCs w:val="23"/>
        </w:rPr>
        <w:t>Spis treści</w:t>
      </w:r>
    </w:p>
    <w:p w:rsidR="007A04BF" w:rsidRDefault="007A04BF" w:rsidP="007A04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Fonts w:ascii="Arial" w:hAnsi="Arial" w:cs="Arial"/>
          <w:color w:val="5A5A5A"/>
          <w:sz w:val="23"/>
          <w:szCs w:val="23"/>
        </w:rPr>
        <w:t> </w:t>
      </w:r>
    </w:p>
    <w:p w:rsidR="007A04BF" w:rsidRDefault="007A04BF" w:rsidP="007A04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Style w:val="Pogrubienie"/>
          <w:rFonts w:ascii="Arial" w:hAnsi="Arial" w:cs="Arial"/>
          <w:color w:val="5A5A5A"/>
          <w:sz w:val="23"/>
          <w:szCs w:val="23"/>
        </w:rPr>
        <w:t>Wprowadzenie</w:t>
      </w:r>
    </w:p>
    <w:p w:rsidR="007A04BF" w:rsidRDefault="007A04BF" w:rsidP="007A04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Fonts w:ascii="Arial" w:hAnsi="Arial" w:cs="Arial"/>
          <w:color w:val="5A5A5A"/>
          <w:sz w:val="23"/>
          <w:szCs w:val="23"/>
        </w:rPr>
        <w:t> </w:t>
      </w:r>
    </w:p>
    <w:p w:rsidR="007A04BF" w:rsidRDefault="007A04BF" w:rsidP="007A04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Style w:val="Pogrubienie"/>
          <w:rFonts w:ascii="Arial" w:hAnsi="Arial" w:cs="Arial"/>
          <w:color w:val="5A5A5A"/>
          <w:sz w:val="23"/>
          <w:szCs w:val="23"/>
        </w:rPr>
        <w:t>1. Koncepcja pomiaru jakościowych wymiarów kapitału ludzkiego w organizacji </w:t>
      </w:r>
      <w:r>
        <w:rPr>
          <w:rFonts w:ascii="Arial" w:hAnsi="Arial" w:cs="Arial"/>
          <w:b/>
          <w:bCs/>
          <w:color w:val="5A5A5A"/>
          <w:sz w:val="23"/>
          <w:szCs w:val="23"/>
        </w:rPr>
        <w:br/>
      </w:r>
      <w:r>
        <w:rPr>
          <w:rFonts w:ascii="Arial" w:hAnsi="Arial" w:cs="Arial"/>
          <w:color w:val="5A5A5A"/>
          <w:sz w:val="23"/>
          <w:szCs w:val="23"/>
        </w:rPr>
        <w:t>1.1. Kapitał ludzki w organizacji — istota i zakres </w:t>
      </w:r>
      <w:r>
        <w:rPr>
          <w:rFonts w:ascii="Arial" w:hAnsi="Arial" w:cs="Arial"/>
          <w:color w:val="5A5A5A"/>
          <w:sz w:val="23"/>
          <w:szCs w:val="23"/>
        </w:rPr>
        <w:br/>
        <w:t>1.2. Determinanty kapitału ludzkiego w organizacji </w:t>
      </w:r>
      <w:r>
        <w:rPr>
          <w:rFonts w:ascii="Arial" w:hAnsi="Arial" w:cs="Arial"/>
          <w:color w:val="5A5A5A"/>
          <w:sz w:val="23"/>
          <w:szCs w:val="23"/>
        </w:rPr>
        <w:br/>
        <w:t>1.3. Założenia pomiaru jakości kapitału ludzkiego organizacji </w:t>
      </w:r>
      <w:r>
        <w:rPr>
          <w:rFonts w:ascii="Arial" w:hAnsi="Arial" w:cs="Arial"/>
          <w:color w:val="5A5A5A"/>
          <w:sz w:val="23"/>
          <w:szCs w:val="23"/>
        </w:rPr>
        <w:br/>
        <w:t>Bibliografia</w:t>
      </w:r>
    </w:p>
    <w:p w:rsidR="007A04BF" w:rsidRDefault="007A04BF" w:rsidP="007A04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Fonts w:ascii="Arial" w:hAnsi="Arial" w:cs="Arial"/>
          <w:color w:val="5A5A5A"/>
          <w:sz w:val="23"/>
          <w:szCs w:val="23"/>
        </w:rPr>
        <w:t> </w:t>
      </w:r>
    </w:p>
    <w:p w:rsidR="007A04BF" w:rsidRDefault="007A04BF" w:rsidP="007A04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Style w:val="Pogrubienie"/>
          <w:rFonts w:ascii="Arial" w:hAnsi="Arial" w:cs="Arial"/>
          <w:color w:val="5A5A5A"/>
          <w:sz w:val="23"/>
          <w:szCs w:val="23"/>
        </w:rPr>
        <w:t>2. Kompetencyjny wymiar kapitału ludzkiego w organizacji </w:t>
      </w:r>
      <w:r>
        <w:rPr>
          <w:rFonts w:ascii="Arial" w:hAnsi="Arial" w:cs="Arial"/>
          <w:b/>
          <w:bCs/>
          <w:color w:val="5A5A5A"/>
          <w:sz w:val="23"/>
          <w:szCs w:val="23"/>
        </w:rPr>
        <w:br/>
      </w:r>
      <w:r>
        <w:rPr>
          <w:rFonts w:ascii="Arial" w:hAnsi="Arial" w:cs="Arial"/>
          <w:color w:val="5A5A5A"/>
          <w:sz w:val="23"/>
          <w:szCs w:val="23"/>
        </w:rPr>
        <w:t>2.1. Kompetencje pracowników — podejście behawioralne </w:t>
      </w:r>
      <w:r>
        <w:rPr>
          <w:rFonts w:ascii="Arial" w:hAnsi="Arial" w:cs="Arial"/>
          <w:color w:val="5A5A5A"/>
          <w:sz w:val="23"/>
          <w:szCs w:val="23"/>
        </w:rPr>
        <w:br/>
        <w:t>2.2. Modele, opisy i profile kompetencyjne </w:t>
      </w:r>
      <w:r>
        <w:rPr>
          <w:rFonts w:ascii="Arial" w:hAnsi="Arial" w:cs="Arial"/>
          <w:color w:val="5A5A5A"/>
          <w:sz w:val="23"/>
          <w:szCs w:val="23"/>
        </w:rPr>
        <w:br/>
        <w:t>2.2.1. Rodzaje kompetencji </w:t>
      </w:r>
      <w:r>
        <w:rPr>
          <w:rFonts w:ascii="Arial" w:hAnsi="Arial" w:cs="Arial"/>
          <w:color w:val="5A5A5A"/>
          <w:sz w:val="23"/>
          <w:szCs w:val="23"/>
        </w:rPr>
        <w:br/>
        <w:t>2.2.2. Wskaźniki i poziomy kompetencji </w:t>
      </w:r>
      <w:r>
        <w:rPr>
          <w:rFonts w:ascii="Arial" w:hAnsi="Arial" w:cs="Arial"/>
          <w:color w:val="5A5A5A"/>
          <w:sz w:val="23"/>
          <w:szCs w:val="23"/>
        </w:rPr>
        <w:br/>
        <w:t>2.2.3. Profile kompetencji </w:t>
      </w:r>
      <w:r>
        <w:rPr>
          <w:rFonts w:ascii="Arial" w:hAnsi="Arial" w:cs="Arial"/>
          <w:color w:val="5A5A5A"/>
          <w:sz w:val="23"/>
          <w:szCs w:val="23"/>
        </w:rPr>
        <w:br/>
        <w:t>2.3. Badanie i pomiar kompetencji </w:t>
      </w:r>
      <w:r>
        <w:rPr>
          <w:rFonts w:ascii="Arial" w:hAnsi="Arial" w:cs="Arial"/>
          <w:color w:val="5A5A5A"/>
          <w:sz w:val="23"/>
          <w:szCs w:val="23"/>
        </w:rPr>
        <w:br/>
        <w:t>2.3.1. Metody diagnostyczne </w:t>
      </w:r>
      <w:r>
        <w:rPr>
          <w:rFonts w:ascii="Arial" w:hAnsi="Arial" w:cs="Arial"/>
          <w:color w:val="5A5A5A"/>
          <w:sz w:val="23"/>
          <w:szCs w:val="23"/>
        </w:rPr>
        <w:br/>
        <w:t>2.3.2. Ocena kompetencji przy użyciu skal obserwacyjnych </w:t>
      </w:r>
      <w:r>
        <w:rPr>
          <w:rFonts w:ascii="Arial" w:hAnsi="Arial" w:cs="Arial"/>
          <w:color w:val="5A5A5A"/>
          <w:sz w:val="23"/>
          <w:szCs w:val="23"/>
        </w:rPr>
        <w:br/>
        <w:t>2.3.3. Testy kompetencyjne i psychologiczne </w:t>
      </w:r>
      <w:r>
        <w:rPr>
          <w:rFonts w:ascii="Arial" w:hAnsi="Arial" w:cs="Arial"/>
          <w:color w:val="5A5A5A"/>
          <w:sz w:val="23"/>
          <w:szCs w:val="23"/>
        </w:rPr>
        <w:br/>
        <w:t xml:space="preserve">2.3.4. </w:t>
      </w:r>
      <w:proofErr w:type="spellStart"/>
      <w:r>
        <w:rPr>
          <w:rFonts w:ascii="Arial" w:hAnsi="Arial" w:cs="Arial"/>
          <w:color w:val="5A5A5A"/>
          <w:sz w:val="23"/>
          <w:szCs w:val="23"/>
        </w:rPr>
        <w:t>Assessment</w:t>
      </w:r>
      <w:proofErr w:type="spellEnd"/>
      <w:r>
        <w:rPr>
          <w:rFonts w:ascii="Arial" w:hAnsi="Arial" w:cs="Arial"/>
          <w:color w:val="5A5A5A"/>
          <w:sz w:val="23"/>
          <w:szCs w:val="23"/>
        </w:rPr>
        <w:t xml:space="preserve"> Center </w:t>
      </w:r>
      <w:r>
        <w:rPr>
          <w:rFonts w:ascii="Arial" w:hAnsi="Arial" w:cs="Arial"/>
          <w:color w:val="5A5A5A"/>
          <w:sz w:val="23"/>
          <w:szCs w:val="23"/>
        </w:rPr>
        <w:br/>
        <w:t>2.4. Jak zmierzyć kompetencje pracowników — propozycje obszarów do badania </w:t>
      </w:r>
      <w:r>
        <w:rPr>
          <w:rFonts w:ascii="Arial" w:hAnsi="Arial" w:cs="Arial"/>
          <w:color w:val="5A5A5A"/>
          <w:sz w:val="23"/>
          <w:szCs w:val="23"/>
        </w:rPr>
        <w:br/>
        <w:t>Bibliografia </w:t>
      </w:r>
      <w:r>
        <w:rPr>
          <w:rFonts w:ascii="Arial" w:hAnsi="Arial" w:cs="Arial"/>
          <w:color w:val="5A5A5A"/>
          <w:sz w:val="23"/>
          <w:szCs w:val="23"/>
        </w:rPr>
        <w:br/>
        <w:t>Załącznik</w:t>
      </w:r>
    </w:p>
    <w:p w:rsidR="007A04BF" w:rsidRDefault="007A04BF" w:rsidP="007A04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Fonts w:ascii="Arial" w:hAnsi="Arial" w:cs="Arial"/>
          <w:color w:val="5A5A5A"/>
          <w:sz w:val="23"/>
          <w:szCs w:val="23"/>
        </w:rPr>
        <w:t> </w:t>
      </w:r>
    </w:p>
    <w:p w:rsidR="007A04BF" w:rsidRDefault="007A04BF" w:rsidP="007A04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Style w:val="Pogrubienie"/>
          <w:rFonts w:ascii="Arial" w:hAnsi="Arial" w:cs="Arial"/>
          <w:color w:val="5A5A5A"/>
          <w:sz w:val="23"/>
          <w:szCs w:val="23"/>
        </w:rPr>
        <w:t>3. Pomiar kluczowych postaw pracowników </w:t>
      </w:r>
      <w:r>
        <w:rPr>
          <w:rFonts w:ascii="Arial" w:hAnsi="Arial" w:cs="Arial"/>
          <w:b/>
          <w:bCs/>
          <w:color w:val="5A5A5A"/>
          <w:sz w:val="23"/>
          <w:szCs w:val="23"/>
        </w:rPr>
        <w:br/>
      </w:r>
      <w:r>
        <w:rPr>
          <w:rFonts w:ascii="Arial" w:hAnsi="Arial" w:cs="Arial"/>
          <w:color w:val="5A5A5A"/>
          <w:sz w:val="23"/>
          <w:szCs w:val="23"/>
        </w:rPr>
        <w:t>3.1. Postawy jako składnik kapitału ludzkiego organizacji </w:t>
      </w:r>
      <w:r>
        <w:rPr>
          <w:rFonts w:ascii="Arial" w:hAnsi="Arial" w:cs="Arial"/>
          <w:color w:val="5A5A5A"/>
          <w:sz w:val="23"/>
          <w:szCs w:val="23"/>
        </w:rPr>
        <w:br/>
        <w:t>3.2. Zaangażowanie pracowników </w:t>
      </w:r>
      <w:r>
        <w:rPr>
          <w:rFonts w:ascii="Arial" w:hAnsi="Arial" w:cs="Arial"/>
          <w:color w:val="5A5A5A"/>
          <w:sz w:val="23"/>
          <w:szCs w:val="23"/>
        </w:rPr>
        <w:br/>
        <w:t>3.2.1. Istota terminu zaangażowanie pracownika </w:t>
      </w:r>
      <w:r>
        <w:rPr>
          <w:rFonts w:ascii="Arial" w:hAnsi="Arial" w:cs="Arial"/>
          <w:color w:val="5A5A5A"/>
          <w:sz w:val="23"/>
          <w:szCs w:val="23"/>
        </w:rPr>
        <w:br/>
        <w:t>3.2.2. Przegląd metod pomiaru zaangażowania </w:t>
      </w:r>
      <w:r>
        <w:rPr>
          <w:rFonts w:ascii="Arial" w:hAnsi="Arial" w:cs="Arial"/>
          <w:color w:val="5A5A5A"/>
          <w:sz w:val="23"/>
          <w:szCs w:val="23"/>
        </w:rPr>
        <w:br/>
        <w:t>3.2.3. Koncepcja metody pomiaru zaangażowania organizacyjnego </w:t>
      </w:r>
      <w:r>
        <w:rPr>
          <w:rFonts w:ascii="Arial" w:hAnsi="Arial" w:cs="Arial"/>
          <w:color w:val="5A5A5A"/>
          <w:sz w:val="23"/>
          <w:szCs w:val="23"/>
        </w:rPr>
        <w:br/>
        <w:t>3.2.4. Narzędzie diagnostyczne do pomiaru zaangażowania organizacyjnego </w:t>
      </w:r>
      <w:r>
        <w:rPr>
          <w:rFonts w:ascii="Arial" w:hAnsi="Arial" w:cs="Arial"/>
          <w:color w:val="5A5A5A"/>
          <w:sz w:val="23"/>
          <w:szCs w:val="23"/>
        </w:rPr>
        <w:br/>
        <w:t>3.2.5. Weryfikacja metody pomiaru </w:t>
      </w:r>
      <w:r>
        <w:rPr>
          <w:rFonts w:ascii="Arial" w:hAnsi="Arial" w:cs="Arial"/>
          <w:color w:val="5A5A5A"/>
          <w:sz w:val="23"/>
          <w:szCs w:val="23"/>
        </w:rPr>
        <w:br/>
        <w:t>3.3. Satysfakcja zawodowa pracowników </w:t>
      </w:r>
      <w:r>
        <w:rPr>
          <w:rFonts w:ascii="Arial" w:hAnsi="Arial" w:cs="Arial"/>
          <w:color w:val="5A5A5A"/>
          <w:sz w:val="23"/>
          <w:szCs w:val="23"/>
        </w:rPr>
        <w:br/>
        <w:t>3.3.1. Celowość pomiaru satysfakcji z pracy </w:t>
      </w:r>
      <w:r>
        <w:rPr>
          <w:rFonts w:ascii="Arial" w:hAnsi="Arial" w:cs="Arial"/>
          <w:color w:val="5A5A5A"/>
          <w:sz w:val="23"/>
          <w:szCs w:val="23"/>
        </w:rPr>
        <w:br/>
        <w:t>3.3.2. Interpretacja oraz determinanty satysfakcji zawodowej </w:t>
      </w:r>
      <w:r>
        <w:rPr>
          <w:rFonts w:ascii="Arial" w:hAnsi="Arial" w:cs="Arial"/>
          <w:color w:val="5A5A5A"/>
          <w:sz w:val="23"/>
          <w:szCs w:val="23"/>
        </w:rPr>
        <w:br/>
        <w:t>3.3.3. Przegląd metod badania satysfakcji z pracy </w:t>
      </w:r>
      <w:r>
        <w:rPr>
          <w:rFonts w:ascii="Arial" w:hAnsi="Arial" w:cs="Arial"/>
          <w:color w:val="5A5A5A"/>
          <w:sz w:val="23"/>
          <w:szCs w:val="23"/>
        </w:rPr>
        <w:br/>
        <w:t>3.3.4. Założenia metody pomiaru satysfakcji zawodowej </w:t>
      </w:r>
      <w:r>
        <w:rPr>
          <w:rFonts w:ascii="Arial" w:hAnsi="Arial" w:cs="Arial"/>
          <w:color w:val="5A5A5A"/>
          <w:sz w:val="23"/>
          <w:szCs w:val="23"/>
        </w:rPr>
        <w:br/>
        <w:t>3.3.5. Narzędzie diagnostyczne do pomiaru satysfakcji zawodowej </w:t>
      </w:r>
      <w:r>
        <w:rPr>
          <w:rFonts w:ascii="Arial" w:hAnsi="Arial" w:cs="Arial"/>
          <w:color w:val="5A5A5A"/>
          <w:sz w:val="23"/>
          <w:szCs w:val="23"/>
        </w:rPr>
        <w:br/>
        <w:t>3.4. Postawa otwartości na nowe doświadczenia i zmianę </w:t>
      </w:r>
      <w:r>
        <w:rPr>
          <w:rFonts w:ascii="Arial" w:hAnsi="Arial" w:cs="Arial"/>
          <w:color w:val="5A5A5A"/>
          <w:sz w:val="23"/>
          <w:szCs w:val="23"/>
        </w:rPr>
        <w:br/>
        <w:t>3.4.1. Otwartość na zmianę w procesie budowania jakości kapitału ludzkiego organizacji uczącej się i rozwijającej </w:t>
      </w:r>
      <w:r>
        <w:rPr>
          <w:rFonts w:ascii="Arial" w:hAnsi="Arial" w:cs="Arial"/>
          <w:color w:val="5A5A5A"/>
          <w:sz w:val="23"/>
          <w:szCs w:val="23"/>
        </w:rPr>
        <w:br/>
        <w:t>3.4.2. Możliwości pomiaru otwartości na nowe doświadczenia i zmianę — metody ilościowe i jakościowe </w:t>
      </w:r>
      <w:r>
        <w:rPr>
          <w:rFonts w:ascii="Arial" w:hAnsi="Arial" w:cs="Arial"/>
          <w:color w:val="5A5A5A"/>
          <w:sz w:val="23"/>
          <w:szCs w:val="23"/>
        </w:rPr>
        <w:br/>
        <w:t>3.5. Postawa gotowości do dzielenia się wiedzą i doświadczeniem </w:t>
      </w:r>
      <w:r>
        <w:rPr>
          <w:rFonts w:ascii="Arial" w:hAnsi="Arial" w:cs="Arial"/>
          <w:color w:val="5A5A5A"/>
          <w:sz w:val="23"/>
          <w:szCs w:val="23"/>
        </w:rPr>
        <w:br/>
        <w:t>3.5.1. Gotowość do dzielenia się wiedzą i doświadczeniem jako czynnik budowania jakości kapitału ludzkiego w organizacji </w:t>
      </w:r>
      <w:r>
        <w:rPr>
          <w:rFonts w:ascii="Arial" w:hAnsi="Arial" w:cs="Arial"/>
          <w:color w:val="5A5A5A"/>
          <w:sz w:val="23"/>
          <w:szCs w:val="23"/>
        </w:rPr>
        <w:br/>
        <w:t xml:space="preserve">3.5.2. Możliwość pomiaru postawy gotowości do dzielenia się wiedzą i doświadczeniem </w:t>
      </w:r>
      <w:r>
        <w:rPr>
          <w:rFonts w:ascii="Arial" w:hAnsi="Arial" w:cs="Arial"/>
          <w:color w:val="5A5A5A"/>
          <w:sz w:val="23"/>
          <w:szCs w:val="23"/>
        </w:rPr>
        <w:lastRenderedPageBreak/>
        <w:t>— metody ilościowe i jakościowe </w:t>
      </w:r>
      <w:r>
        <w:rPr>
          <w:rFonts w:ascii="Arial" w:hAnsi="Arial" w:cs="Arial"/>
          <w:color w:val="5A5A5A"/>
          <w:sz w:val="23"/>
          <w:szCs w:val="23"/>
        </w:rPr>
        <w:br/>
        <w:t>Bibliografia </w:t>
      </w:r>
      <w:r>
        <w:rPr>
          <w:rFonts w:ascii="Arial" w:hAnsi="Arial" w:cs="Arial"/>
          <w:color w:val="5A5A5A"/>
          <w:sz w:val="23"/>
          <w:szCs w:val="23"/>
        </w:rPr>
        <w:br/>
        <w:t>Załącznik</w:t>
      </w:r>
    </w:p>
    <w:p w:rsidR="007A04BF" w:rsidRDefault="007A04BF" w:rsidP="007A04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Fonts w:ascii="Arial" w:hAnsi="Arial" w:cs="Arial"/>
          <w:color w:val="5A5A5A"/>
          <w:sz w:val="23"/>
          <w:szCs w:val="23"/>
        </w:rPr>
        <w:t> </w:t>
      </w:r>
    </w:p>
    <w:p w:rsidR="007A04BF" w:rsidRDefault="007A04BF" w:rsidP="007A04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Style w:val="Pogrubienie"/>
          <w:rFonts w:ascii="Arial" w:hAnsi="Arial" w:cs="Arial"/>
          <w:color w:val="5A5A5A"/>
          <w:sz w:val="23"/>
          <w:szCs w:val="23"/>
        </w:rPr>
        <w:t>4. Pomiar kontaktów interpersonalnych </w:t>
      </w:r>
      <w:r>
        <w:rPr>
          <w:rFonts w:ascii="Arial" w:hAnsi="Arial" w:cs="Arial"/>
          <w:b/>
          <w:bCs/>
          <w:color w:val="5A5A5A"/>
          <w:sz w:val="23"/>
          <w:szCs w:val="23"/>
        </w:rPr>
        <w:br/>
      </w:r>
      <w:r>
        <w:rPr>
          <w:rFonts w:ascii="Arial" w:hAnsi="Arial" w:cs="Arial"/>
          <w:color w:val="5A5A5A"/>
          <w:sz w:val="23"/>
          <w:szCs w:val="23"/>
        </w:rPr>
        <w:t>4.1. Kontakty interpersonalne jako przedmiot pomiaru </w:t>
      </w:r>
      <w:r>
        <w:rPr>
          <w:rFonts w:ascii="Arial" w:hAnsi="Arial" w:cs="Arial"/>
          <w:color w:val="5A5A5A"/>
          <w:sz w:val="23"/>
          <w:szCs w:val="23"/>
        </w:rPr>
        <w:br/>
        <w:t>4.1.1. Uwarunkowania jakości kontaktów międzyludzkich — rola doświadczeń osobistych, osobowości i kompetencji społecznych pracowników </w:t>
      </w:r>
      <w:r>
        <w:rPr>
          <w:rFonts w:ascii="Arial" w:hAnsi="Arial" w:cs="Arial"/>
          <w:color w:val="5A5A5A"/>
          <w:sz w:val="23"/>
          <w:szCs w:val="23"/>
        </w:rPr>
        <w:br/>
        <w:t>4.1.2. Jakość kontaktów interpersonalnych w tradycyjnym zespole pracowniczym i w rozproszonym zespole projektowym </w:t>
      </w:r>
      <w:r>
        <w:rPr>
          <w:rFonts w:ascii="Arial" w:hAnsi="Arial" w:cs="Arial"/>
          <w:color w:val="5A5A5A"/>
          <w:sz w:val="23"/>
          <w:szCs w:val="23"/>
        </w:rPr>
        <w:br/>
        <w:t>4.1.3. Kontakty interpersonalne jako wymiar budujący jakość kapitału ludzkiego w organizacji </w:t>
      </w:r>
      <w:r>
        <w:rPr>
          <w:rFonts w:ascii="Arial" w:hAnsi="Arial" w:cs="Arial"/>
          <w:color w:val="5A5A5A"/>
          <w:sz w:val="23"/>
          <w:szCs w:val="23"/>
        </w:rPr>
        <w:br/>
        <w:t>4.2. Wskaźniki empiryczne kontaktów interpersonalnych </w:t>
      </w:r>
      <w:r>
        <w:rPr>
          <w:rFonts w:ascii="Arial" w:hAnsi="Arial" w:cs="Arial"/>
          <w:color w:val="5A5A5A"/>
          <w:sz w:val="23"/>
          <w:szCs w:val="23"/>
        </w:rPr>
        <w:br/>
        <w:t>4.2.1. Wskaźniki empiryczne pomiaru dotyczące kontekstu komunikacji interpersonalnej </w:t>
      </w:r>
      <w:r>
        <w:rPr>
          <w:rFonts w:ascii="Arial" w:hAnsi="Arial" w:cs="Arial"/>
          <w:color w:val="5A5A5A"/>
          <w:sz w:val="23"/>
          <w:szCs w:val="23"/>
        </w:rPr>
        <w:br/>
        <w:t>4.2.2. Wskaźniki empiryczne pomiaru jakości kontaktów interpersonalnych </w:t>
      </w:r>
      <w:r>
        <w:rPr>
          <w:rFonts w:ascii="Arial" w:hAnsi="Arial" w:cs="Arial"/>
          <w:color w:val="5A5A5A"/>
          <w:sz w:val="23"/>
          <w:szCs w:val="23"/>
        </w:rPr>
        <w:br/>
        <w:t>4.3. Narzędzia pomiaru kontaktów interpersonalnych </w:t>
      </w:r>
      <w:r>
        <w:rPr>
          <w:rFonts w:ascii="Arial" w:hAnsi="Arial" w:cs="Arial"/>
          <w:color w:val="5A5A5A"/>
          <w:sz w:val="23"/>
          <w:szCs w:val="23"/>
        </w:rPr>
        <w:br/>
        <w:t>Kwestionariusz ankiety do badania jakości kontaktów interpersonalnych w przedsiębiorstwie </w:t>
      </w:r>
      <w:r>
        <w:rPr>
          <w:rFonts w:ascii="Arial" w:hAnsi="Arial" w:cs="Arial"/>
          <w:color w:val="5A5A5A"/>
          <w:sz w:val="23"/>
          <w:szCs w:val="23"/>
        </w:rPr>
        <w:br/>
        <w:t>Bibliografia</w:t>
      </w:r>
    </w:p>
    <w:p w:rsidR="007A04BF" w:rsidRDefault="007A04BF" w:rsidP="007A04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Fonts w:ascii="Arial" w:hAnsi="Arial" w:cs="Arial"/>
          <w:color w:val="5A5A5A"/>
          <w:sz w:val="23"/>
          <w:szCs w:val="23"/>
        </w:rPr>
        <w:t> </w:t>
      </w:r>
    </w:p>
    <w:p w:rsidR="007A04BF" w:rsidRDefault="007A04BF" w:rsidP="007A04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Style w:val="Pogrubienie"/>
          <w:rFonts w:ascii="Arial" w:hAnsi="Arial" w:cs="Arial"/>
          <w:color w:val="5A5A5A"/>
          <w:sz w:val="23"/>
          <w:szCs w:val="23"/>
        </w:rPr>
        <w:t>5. Klimat organizacyjny jako wymiar kapitału ludzkiego </w:t>
      </w:r>
      <w:r>
        <w:rPr>
          <w:rFonts w:ascii="Arial" w:hAnsi="Arial" w:cs="Arial"/>
          <w:b/>
          <w:bCs/>
          <w:color w:val="5A5A5A"/>
          <w:sz w:val="23"/>
          <w:szCs w:val="23"/>
        </w:rPr>
        <w:br/>
      </w:r>
      <w:r>
        <w:rPr>
          <w:rFonts w:ascii="Arial" w:hAnsi="Arial" w:cs="Arial"/>
          <w:color w:val="5A5A5A"/>
          <w:sz w:val="23"/>
          <w:szCs w:val="23"/>
        </w:rPr>
        <w:t xml:space="preserve">5.1. Od badań nad małymi grupami społecznymi do badań ogólnego klimatu </w:t>
      </w:r>
      <w:proofErr w:type="spellStart"/>
      <w:r>
        <w:rPr>
          <w:rFonts w:ascii="Arial" w:hAnsi="Arial" w:cs="Arial"/>
          <w:color w:val="5A5A5A"/>
          <w:sz w:val="23"/>
          <w:szCs w:val="23"/>
        </w:rPr>
        <w:t>organiza-cyjnego</w:t>
      </w:r>
      <w:proofErr w:type="spellEnd"/>
      <w:r>
        <w:rPr>
          <w:rFonts w:ascii="Arial" w:hAnsi="Arial" w:cs="Arial"/>
          <w:color w:val="5A5A5A"/>
          <w:sz w:val="23"/>
          <w:szCs w:val="23"/>
        </w:rPr>
        <w:t> </w:t>
      </w:r>
      <w:r>
        <w:rPr>
          <w:rFonts w:ascii="Arial" w:hAnsi="Arial" w:cs="Arial"/>
          <w:color w:val="5A5A5A"/>
          <w:sz w:val="23"/>
          <w:szCs w:val="23"/>
        </w:rPr>
        <w:br/>
        <w:t>5.1.1. Kultura a klimat organizacyjny </w:t>
      </w:r>
      <w:r>
        <w:rPr>
          <w:rFonts w:ascii="Arial" w:hAnsi="Arial" w:cs="Arial"/>
          <w:color w:val="5A5A5A"/>
          <w:sz w:val="23"/>
          <w:szCs w:val="23"/>
        </w:rPr>
        <w:br/>
        <w:t>5.1.2. Natura klimatu psychologicznego </w:t>
      </w:r>
      <w:r>
        <w:rPr>
          <w:rFonts w:ascii="Arial" w:hAnsi="Arial" w:cs="Arial"/>
          <w:color w:val="5A5A5A"/>
          <w:sz w:val="23"/>
          <w:szCs w:val="23"/>
        </w:rPr>
        <w:br/>
        <w:t>5.1.3. Integracyjne podejście do klimatu organizacyjnego </w:t>
      </w:r>
      <w:r>
        <w:rPr>
          <w:rFonts w:ascii="Arial" w:hAnsi="Arial" w:cs="Arial"/>
          <w:color w:val="5A5A5A"/>
          <w:sz w:val="23"/>
          <w:szCs w:val="23"/>
        </w:rPr>
        <w:br/>
        <w:t>5.2. Główne wymiary klimatu organizacyjnego </w:t>
      </w:r>
      <w:r>
        <w:rPr>
          <w:rFonts w:ascii="Arial" w:hAnsi="Arial" w:cs="Arial"/>
          <w:color w:val="5A5A5A"/>
          <w:sz w:val="23"/>
          <w:szCs w:val="23"/>
        </w:rPr>
        <w:br/>
        <w:t>5.3. Sposoby badania klimatu organizacyjnego </w:t>
      </w:r>
      <w:r>
        <w:rPr>
          <w:rFonts w:ascii="Arial" w:hAnsi="Arial" w:cs="Arial"/>
          <w:color w:val="5A5A5A"/>
          <w:sz w:val="23"/>
          <w:szCs w:val="23"/>
        </w:rPr>
        <w:br/>
        <w:t>5.3.1. Narzędzia do diagnozy klimatu organizacyjnego </w:t>
      </w:r>
      <w:r>
        <w:rPr>
          <w:rFonts w:ascii="Arial" w:hAnsi="Arial" w:cs="Arial"/>
          <w:color w:val="5A5A5A"/>
          <w:sz w:val="23"/>
          <w:szCs w:val="23"/>
        </w:rPr>
        <w:br/>
        <w:t>5.3.2. Propozycja wskaźników do badania klimatu organizacyjnego </w:t>
      </w:r>
      <w:r>
        <w:rPr>
          <w:rFonts w:ascii="Arial" w:hAnsi="Arial" w:cs="Arial"/>
          <w:color w:val="5A5A5A"/>
          <w:sz w:val="23"/>
          <w:szCs w:val="23"/>
        </w:rPr>
        <w:br/>
        <w:t>Bibliografia </w:t>
      </w:r>
      <w:r>
        <w:rPr>
          <w:rFonts w:ascii="Arial" w:hAnsi="Arial" w:cs="Arial"/>
          <w:color w:val="5A5A5A"/>
          <w:sz w:val="23"/>
          <w:szCs w:val="23"/>
        </w:rPr>
        <w:br/>
        <w:t>Załącznik</w:t>
      </w:r>
    </w:p>
    <w:p w:rsidR="007A04BF" w:rsidRDefault="007A04BF" w:rsidP="007A04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Fonts w:ascii="Arial" w:hAnsi="Arial" w:cs="Arial"/>
          <w:color w:val="5A5A5A"/>
          <w:sz w:val="23"/>
          <w:szCs w:val="23"/>
        </w:rPr>
        <w:t> </w:t>
      </w:r>
    </w:p>
    <w:p w:rsidR="007A04BF" w:rsidRDefault="007A04BF" w:rsidP="007A04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Style w:val="Pogrubienie"/>
          <w:rFonts w:ascii="Arial" w:hAnsi="Arial" w:cs="Arial"/>
          <w:color w:val="5A5A5A"/>
          <w:sz w:val="23"/>
          <w:szCs w:val="23"/>
        </w:rPr>
        <w:t>6. Kulturowy wymiar kapitału ludzkiego w organizacji </w:t>
      </w:r>
      <w:r>
        <w:rPr>
          <w:rFonts w:ascii="Arial" w:hAnsi="Arial" w:cs="Arial"/>
          <w:b/>
          <w:bCs/>
          <w:color w:val="5A5A5A"/>
          <w:sz w:val="23"/>
          <w:szCs w:val="23"/>
        </w:rPr>
        <w:br/>
      </w:r>
      <w:r>
        <w:rPr>
          <w:rFonts w:ascii="Arial" w:hAnsi="Arial" w:cs="Arial"/>
          <w:color w:val="5A5A5A"/>
          <w:sz w:val="23"/>
          <w:szCs w:val="23"/>
        </w:rPr>
        <w:t>6.1. Od kapitału kulturowego do kulturowego wymiaru kapitału ludzkiego w organizacji </w:t>
      </w:r>
      <w:r>
        <w:rPr>
          <w:rFonts w:ascii="Arial" w:hAnsi="Arial" w:cs="Arial"/>
          <w:color w:val="5A5A5A"/>
          <w:sz w:val="23"/>
          <w:szCs w:val="23"/>
        </w:rPr>
        <w:br/>
        <w:t>6.2. Kultura organizacyjna jako przejaw kulturowego wymiaru kapitału ludzkiego w organizacji </w:t>
      </w:r>
      <w:r>
        <w:rPr>
          <w:rFonts w:ascii="Arial" w:hAnsi="Arial" w:cs="Arial"/>
          <w:color w:val="5A5A5A"/>
          <w:sz w:val="23"/>
          <w:szCs w:val="23"/>
        </w:rPr>
        <w:br/>
        <w:t>6.2.1. Kultura organizacji a kapitał kulturowy organizacji </w:t>
      </w:r>
      <w:r>
        <w:rPr>
          <w:rFonts w:ascii="Arial" w:hAnsi="Arial" w:cs="Arial"/>
          <w:color w:val="5A5A5A"/>
          <w:sz w:val="23"/>
          <w:szCs w:val="23"/>
        </w:rPr>
        <w:br/>
        <w:t>6.2.2. Kultura efektywności jako przejaw kapitału kulturowego organizacji </w:t>
      </w:r>
      <w:r>
        <w:rPr>
          <w:rFonts w:ascii="Arial" w:hAnsi="Arial" w:cs="Arial"/>
          <w:color w:val="5A5A5A"/>
          <w:sz w:val="23"/>
          <w:szCs w:val="23"/>
        </w:rPr>
        <w:br/>
        <w:t>6.3. Jak badać kapitał kulturowy organizacji? </w:t>
      </w:r>
      <w:r>
        <w:rPr>
          <w:rFonts w:ascii="Arial" w:hAnsi="Arial" w:cs="Arial"/>
          <w:color w:val="5A5A5A"/>
          <w:sz w:val="23"/>
          <w:szCs w:val="23"/>
        </w:rPr>
        <w:br/>
        <w:t>6.3.1. Jakościowe badanie kapitału kulturowego organizacji </w:t>
      </w:r>
      <w:r>
        <w:rPr>
          <w:rFonts w:ascii="Arial" w:hAnsi="Arial" w:cs="Arial"/>
          <w:color w:val="5A5A5A"/>
          <w:sz w:val="23"/>
          <w:szCs w:val="23"/>
        </w:rPr>
        <w:br/>
        <w:t>6.3.2. Ilościowe badanie kapitału kulturowego organizacji </w:t>
      </w:r>
      <w:r>
        <w:rPr>
          <w:rFonts w:ascii="Arial" w:hAnsi="Arial" w:cs="Arial"/>
          <w:color w:val="5A5A5A"/>
          <w:sz w:val="23"/>
          <w:szCs w:val="23"/>
        </w:rPr>
        <w:br/>
        <w:t>6.4. Narzędzia diagnostyczne kultury organizacyjnej </w:t>
      </w:r>
      <w:r>
        <w:rPr>
          <w:rFonts w:ascii="Arial" w:hAnsi="Arial" w:cs="Arial"/>
          <w:color w:val="5A5A5A"/>
          <w:sz w:val="23"/>
          <w:szCs w:val="23"/>
        </w:rPr>
        <w:br/>
        <w:t>Bibliografia </w:t>
      </w:r>
      <w:r>
        <w:rPr>
          <w:rFonts w:ascii="Arial" w:hAnsi="Arial" w:cs="Arial"/>
          <w:color w:val="5A5A5A"/>
          <w:sz w:val="23"/>
          <w:szCs w:val="23"/>
        </w:rPr>
        <w:br/>
        <w:t>Załącznik</w:t>
      </w:r>
    </w:p>
    <w:p w:rsidR="007A04BF" w:rsidRDefault="007A04BF" w:rsidP="007A04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Fonts w:ascii="Arial" w:hAnsi="Arial" w:cs="Arial"/>
          <w:color w:val="5A5A5A"/>
          <w:sz w:val="23"/>
          <w:szCs w:val="23"/>
        </w:rPr>
        <w:t> </w:t>
      </w:r>
    </w:p>
    <w:p w:rsidR="006F0FC5" w:rsidRPr="007A04BF" w:rsidRDefault="007A04BF" w:rsidP="007A04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A5A5A"/>
          <w:sz w:val="23"/>
          <w:szCs w:val="23"/>
        </w:rPr>
      </w:pPr>
      <w:r>
        <w:rPr>
          <w:rStyle w:val="Pogrubienie"/>
          <w:rFonts w:ascii="Arial" w:hAnsi="Arial" w:cs="Arial"/>
          <w:color w:val="5A5A5A"/>
          <w:sz w:val="23"/>
          <w:szCs w:val="23"/>
        </w:rPr>
        <w:t>Podsumowanie i rekomendacje</w:t>
      </w:r>
    </w:p>
    <w:sectPr w:rsidR="006F0FC5" w:rsidRPr="007A04BF" w:rsidSect="006F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4BF"/>
    <w:rsid w:val="006F0FC5"/>
    <w:rsid w:val="007A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0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2019-08-05T09:23:00Z</dcterms:created>
  <dcterms:modified xsi:type="dcterms:W3CDTF">2019-08-05T09:24:00Z</dcterms:modified>
</cp:coreProperties>
</file>