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5A" w:rsidRDefault="005D525A" w:rsidP="005D525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Style w:val="Pogrubienie"/>
          <w:rFonts w:ascii="Arial" w:hAnsi="Arial" w:cs="Arial"/>
          <w:color w:val="5A5A5A"/>
          <w:sz w:val="23"/>
          <w:szCs w:val="23"/>
        </w:rPr>
        <w:t>Spis treści</w:t>
      </w:r>
    </w:p>
    <w:p w:rsidR="005D525A" w:rsidRDefault="005D525A" w:rsidP="005D525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Fonts w:ascii="Arial" w:hAnsi="Arial" w:cs="Arial"/>
          <w:color w:val="5A5A5A"/>
          <w:sz w:val="23"/>
          <w:szCs w:val="23"/>
        </w:rPr>
        <w:t> </w:t>
      </w:r>
    </w:p>
    <w:p w:rsidR="005D525A" w:rsidRDefault="005D525A" w:rsidP="005D525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Style w:val="Pogrubienie"/>
          <w:rFonts w:ascii="Arial" w:hAnsi="Arial" w:cs="Arial"/>
          <w:color w:val="5A5A5A"/>
          <w:sz w:val="23"/>
          <w:szCs w:val="23"/>
        </w:rPr>
        <w:t>Wprowadzenie Bogumiła Szopa, Ewa Ślęzak</w:t>
      </w:r>
    </w:p>
    <w:p w:rsidR="005D525A" w:rsidRDefault="005D525A" w:rsidP="005D525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Fonts w:ascii="Arial" w:hAnsi="Arial" w:cs="Arial"/>
          <w:color w:val="5A5A5A"/>
          <w:sz w:val="23"/>
          <w:szCs w:val="23"/>
        </w:rPr>
        <w:t> </w:t>
      </w:r>
    </w:p>
    <w:p w:rsidR="005D525A" w:rsidRDefault="005D525A" w:rsidP="005D525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Style w:val="Pogrubienie"/>
          <w:rFonts w:ascii="Arial" w:hAnsi="Arial" w:cs="Arial"/>
          <w:color w:val="5A5A5A"/>
          <w:sz w:val="23"/>
          <w:szCs w:val="23"/>
        </w:rPr>
        <w:t>Bibliografia</w:t>
      </w:r>
    </w:p>
    <w:p w:rsidR="005D525A" w:rsidRDefault="005D525A" w:rsidP="005D525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Fonts w:ascii="Arial" w:hAnsi="Arial" w:cs="Arial"/>
          <w:color w:val="5A5A5A"/>
          <w:sz w:val="23"/>
          <w:szCs w:val="23"/>
        </w:rPr>
        <w:t> </w:t>
      </w:r>
    </w:p>
    <w:p w:rsidR="005D525A" w:rsidRDefault="005D525A" w:rsidP="005D525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Style w:val="Pogrubienie"/>
          <w:rFonts w:ascii="Arial" w:hAnsi="Arial" w:cs="Arial"/>
          <w:color w:val="5A5A5A"/>
          <w:sz w:val="23"/>
          <w:szCs w:val="23"/>
        </w:rPr>
        <w:t>1. Globalizacja i jej oblicza Ewa Ślęzak </w:t>
      </w:r>
      <w:r>
        <w:rPr>
          <w:rFonts w:ascii="Arial" w:hAnsi="Arial" w:cs="Arial"/>
          <w:color w:val="5A5A5A"/>
          <w:sz w:val="23"/>
          <w:szCs w:val="23"/>
        </w:rPr>
        <w:br/>
        <w:t>1.1. Wstęp</w:t>
      </w:r>
      <w:r>
        <w:rPr>
          <w:rFonts w:ascii="Arial" w:hAnsi="Arial" w:cs="Arial"/>
          <w:color w:val="5A5A5A"/>
          <w:sz w:val="23"/>
          <w:szCs w:val="23"/>
        </w:rPr>
        <w:br/>
        <w:t>1.2. Rys historyczny zjawiska</w:t>
      </w:r>
      <w:r>
        <w:rPr>
          <w:rFonts w:ascii="Arial" w:hAnsi="Arial" w:cs="Arial"/>
          <w:color w:val="5A5A5A"/>
          <w:sz w:val="23"/>
          <w:szCs w:val="23"/>
        </w:rPr>
        <w:br/>
        <w:t>1.3. Globalizacja na gruncie teoretycznym</w:t>
      </w:r>
      <w:r>
        <w:rPr>
          <w:rFonts w:ascii="Arial" w:hAnsi="Arial" w:cs="Arial"/>
          <w:color w:val="5A5A5A"/>
          <w:sz w:val="23"/>
          <w:szCs w:val="23"/>
        </w:rPr>
        <w:br/>
        <w:t>1.4. Globalizacja w ujęciu ekonomicznym</w:t>
      </w:r>
      <w:r>
        <w:rPr>
          <w:rFonts w:ascii="Arial" w:hAnsi="Arial" w:cs="Arial"/>
          <w:color w:val="5A5A5A"/>
          <w:sz w:val="23"/>
          <w:szCs w:val="23"/>
        </w:rPr>
        <w:br/>
        <w:t>1.5. Globalizacja społeczno-kulturowa</w:t>
      </w:r>
      <w:r>
        <w:rPr>
          <w:rFonts w:ascii="Arial" w:hAnsi="Arial" w:cs="Arial"/>
          <w:color w:val="5A5A5A"/>
          <w:sz w:val="23"/>
          <w:szCs w:val="23"/>
        </w:rPr>
        <w:br/>
        <w:t>1.6. Podsumowanie: narracje globalizacji</w:t>
      </w:r>
      <w:r>
        <w:rPr>
          <w:rFonts w:ascii="Arial" w:hAnsi="Arial" w:cs="Arial"/>
          <w:color w:val="5A5A5A"/>
          <w:sz w:val="23"/>
          <w:szCs w:val="23"/>
        </w:rPr>
        <w:br/>
        <w:t>Bibliografia</w:t>
      </w:r>
    </w:p>
    <w:p w:rsidR="005D525A" w:rsidRDefault="005D525A" w:rsidP="005D525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Fonts w:ascii="Arial" w:hAnsi="Arial" w:cs="Arial"/>
          <w:color w:val="5A5A5A"/>
          <w:sz w:val="23"/>
          <w:szCs w:val="23"/>
        </w:rPr>
        <w:t> </w:t>
      </w:r>
    </w:p>
    <w:p w:rsidR="005D525A" w:rsidRDefault="005D525A" w:rsidP="005D525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Style w:val="Pogrubienie"/>
          <w:rFonts w:ascii="Arial" w:hAnsi="Arial" w:cs="Arial"/>
          <w:color w:val="5A5A5A"/>
          <w:sz w:val="23"/>
          <w:szCs w:val="23"/>
        </w:rPr>
        <w:t>2. Globalizacja a mobilność Ewa Ślęzak </w:t>
      </w:r>
      <w:r>
        <w:rPr>
          <w:rFonts w:ascii="Arial" w:hAnsi="Arial" w:cs="Arial"/>
          <w:color w:val="5A5A5A"/>
          <w:sz w:val="23"/>
          <w:szCs w:val="23"/>
        </w:rPr>
        <w:br/>
        <w:t>2.1. Wstęp</w:t>
      </w:r>
      <w:r>
        <w:rPr>
          <w:rFonts w:ascii="Arial" w:hAnsi="Arial" w:cs="Arial"/>
          <w:color w:val="5A5A5A"/>
          <w:sz w:val="23"/>
          <w:szCs w:val="23"/>
        </w:rPr>
        <w:br/>
        <w:t>2.2. Istota mobilności</w:t>
      </w:r>
      <w:r>
        <w:rPr>
          <w:rFonts w:ascii="Arial" w:hAnsi="Arial" w:cs="Arial"/>
          <w:color w:val="5A5A5A"/>
          <w:sz w:val="23"/>
          <w:szCs w:val="23"/>
        </w:rPr>
        <w:br/>
        <w:t>2.3. Teorie mobilności</w:t>
      </w:r>
      <w:r>
        <w:rPr>
          <w:rFonts w:ascii="Arial" w:hAnsi="Arial" w:cs="Arial"/>
          <w:color w:val="5A5A5A"/>
          <w:sz w:val="23"/>
          <w:szCs w:val="23"/>
        </w:rPr>
        <w:br/>
        <w:t>2.4. Podróże ludzi i przedmiotów</w:t>
      </w:r>
      <w:r>
        <w:rPr>
          <w:rFonts w:ascii="Arial" w:hAnsi="Arial" w:cs="Arial"/>
          <w:color w:val="5A5A5A"/>
          <w:sz w:val="23"/>
          <w:szCs w:val="23"/>
        </w:rPr>
        <w:br/>
        <w:t>2.5. Mobilność wyobrażeniowa i podróże wirtualne</w:t>
      </w:r>
      <w:r>
        <w:rPr>
          <w:rFonts w:ascii="Arial" w:hAnsi="Arial" w:cs="Arial"/>
          <w:color w:val="5A5A5A"/>
          <w:sz w:val="23"/>
          <w:szCs w:val="23"/>
        </w:rPr>
        <w:br/>
        <w:t>2.6. Podsumowanie</w:t>
      </w:r>
      <w:r>
        <w:rPr>
          <w:rFonts w:ascii="Arial" w:hAnsi="Arial" w:cs="Arial"/>
          <w:color w:val="5A5A5A"/>
          <w:sz w:val="23"/>
          <w:szCs w:val="23"/>
        </w:rPr>
        <w:br/>
        <w:t>Bibliografia</w:t>
      </w:r>
    </w:p>
    <w:p w:rsidR="005D525A" w:rsidRDefault="005D525A" w:rsidP="005D525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Fonts w:ascii="Arial" w:hAnsi="Arial" w:cs="Arial"/>
          <w:color w:val="5A5A5A"/>
          <w:sz w:val="23"/>
          <w:szCs w:val="23"/>
        </w:rPr>
        <w:t> </w:t>
      </w:r>
    </w:p>
    <w:p w:rsidR="005D525A" w:rsidRDefault="005D525A" w:rsidP="005D525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Style w:val="Pogrubienie"/>
          <w:rFonts w:ascii="Arial" w:hAnsi="Arial" w:cs="Arial"/>
          <w:color w:val="5A5A5A"/>
          <w:sz w:val="23"/>
          <w:szCs w:val="23"/>
        </w:rPr>
        <w:t xml:space="preserve">3. Globalizacja biedy i wykluczenia społecznego Michał </w:t>
      </w:r>
      <w:proofErr w:type="spellStart"/>
      <w:r>
        <w:rPr>
          <w:rStyle w:val="Pogrubienie"/>
          <w:rFonts w:ascii="Arial" w:hAnsi="Arial" w:cs="Arial"/>
          <w:color w:val="5A5A5A"/>
          <w:sz w:val="23"/>
          <w:szCs w:val="23"/>
        </w:rPr>
        <w:t>Michorowski</w:t>
      </w:r>
      <w:proofErr w:type="spellEnd"/>
      <w:r>
        <w:rPr>
          <w:rStyle w:val="Pogrubienie"/>
          <w:rFonts w:ascii="Arial" w:hAnsi="Arial" w:cs="Arial"/>
          <w:color w:val="5A5A5A"/>
          <w:sz w:val="23"/>
          <w:szCs w:val="23"/>
        </w:rPr>
        <w:t> </w:t>
      </w:r>
      <w:r>
        <w:rPr>
          <w:rFonts w:ascii="Arial" w:hAnsi="Arial" w:cs="Arial"/>
          <w:color w:val="5A5A5A"/>
          <w:sz w:val="23"/>
          <w:szCs w:val="23"/>
        </w:rPr>
        <w:br/>
        <w:t>3.1. Wstęp</w:t>
      </w:r>
      <w:r>
        <w:rPr>
          <w:rFonts w:ascii="Arial" w:hAnsi="Arial" w:cs="Arial"/>
          <w:color w:val="5A5A5A"/>
          <w:sz w:val="23"/>
          <w:szCs w:val="23"/>
        </w:rPr>
        <w:br/>
        <w:t>3.2. Nierówności w obecnym świecie</w:t>
      </w:r>
      <w:r>
        <w:rPr>
          <w:rFonts w:ascii="Arial" w:hAnsi="Arial" w:cs="Arial"/>
          <w:color w:val="5A5A5A"/>
          <w:sz w:val="23"/>
          <w:szCs w:val="23"/>
        </w:rPr>
        <w:br/>
        <w:t>3.3. Bieda i wykluczenie społeczne w ujęciu teoretycznym</w:t>
      </w:r>
      <w:r>
        <w:rPr>
          <w:rFonts w:ascii="Arial" w:hAnsi="Arial" w:cs="Arial"/>
          <w:color w:val="5A5A5A"/>
          <w:sz w:val="23"/>
          <w:szCs w:val="23"/>
        </w:rPr>
        <w:br/>
        <w:t>3.4. Determinanty biedy i wykluczenia społecznego</w:t>
      </w:r>
      <w:r>
        <w:rPr>
          <w:rFonts w:ascii="Arial" w:hAnsi="Arial" w:cs="Arial"/>
          <w:color w:val="5A5A5A"/>
          <w:sz w:val="23"/>
          <w:szCs w:val="23"/>
        </w:rPr>
        <w:br/>
        <w:t>3.5. Globalizacja a bieda i wykluczenie społeczne</w:t>
      </w:r>
      <w:r>
        <w:rPr>
          <w:rFonts w:ascii="Arial" w:hAnsi="Arial" w:cs="Arial"/>
          <w:color w:val="5A5A5A"/>
          <w:sz w:val="23"/>
          <w:szCs w:val="23"/>
        </w:rPr>
        <w:br/>
        <w:t>3.6. Monitoring biedy i wykluczenia społecznego w świecie</w:t>
      </w:r>
      <w:r>
        <w:rPr>
          <w:rFonts w:ascii="Arial" w:hAnsi="Arial" w:cs="Arial"/>
          <w:color w:val="5A5A5A"/>
          <w:sz w:val="23"/>
          <w:szCs w:val="23"/>
        </w:rPr>
        <w:br/>
        <w:t>3.7. Zwalczanie ubóstwa i wykluczenia społecznego</w:t>
      </w:r>
      <w:r>
        <w:rPr>
          <w:rFonts w:ascii="Arial" w:hAnsi="Arial" w:cs="Arial"/>
          <w:color w:val="5A5A5A"/>
          <w:sz w:val="23"/>
          <w:szCs w:val="23"/>
        </w:rPr>
        <w:br/>
        <w:t>3.8. Podsumowanie</w:t>
      </w:r>
      <w:r>
        <w:rPr>
          <w:rFonts w:ascii="Arial" w:hAnsi="Arial" w:cs="Arial"/>
          <w:color w:val="5A5A5A"/>
          <w:sz w:val="23"/>
          <w:szCs w:val="23"/>
        </w:rPr>
        <w:br/>
        <w:t>Bibliografia</w:t>
      </w:r>
    </w:p>
    <w:p w:rsidR="005D525A" w:rsidRDefault="005D525A" w:rsidP="005D525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Fonts w:ascii="Arial" w:hAnsi="Arial" w:cs="Arial"/>
          <w:color w:val="5A5A5A"/>
          <w:sz w:val="23"/>
          <w:szCs w:val="23"/>
        </w:rPr>
        <w:t> </w:t>
      </w:r>
    </w:p>
    <w:p w:rsidR="005D525A" w:rsidRDefault="005D525A" w:rsidP="005D525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Style w:val="Pogrubienie"/>
          <w:rFonts w:ascii="Arial" w:hAnsi="Arial" w:cs="Arial"/>
          <w:color w:val="5A5A5A"/>
          <w:sz w:val="23"/>
          <w:szCs w:val="23"/>
        </w:rPr>
        <w:t>4. Globalizacja a rynek pracy Bogumiła Szopa </w:t>
      </w:r>
      <w:r>
        <w:rPr>
          <w:rFonts w:ascii="Arial" w:hAnsi="Arial" w:cs="Arial"/>
          <w:color w:val="5A5A5A"/>
          <w:sz w:val="23"/>
          <w:szCs w:val="23"/>
        </w:rPr>
        <w:br/>
        <w:t>4.1. Wstęp</w:t>
      </w:r>
      <w:r>
        <w:rPr>
          <w:rFonts w:ascii="Arial" w:hAnsi="Arial" w:cs="Arial"/>
          <w:color w:val="5A5A5A"/>
          <w:sz w:val="23"/>
          <w:szCs w:val="23"/>
        </w:rPr>
        <w:br/>
        <w:t>4.2. Ewolucja pracy jako kategorii społeczno-ekonomicznej</w:t>
      </w:r>
      <w:r>
        <w:rPr>
          <w:rFonts w:ascii="Arial" w:hAnsi="Arial" w:cs="Arial"/>
          <w:color w:val="5A5A5A"/>
          <w:sz w:val="23"/>
          <w:szCs w:val="23"/>
        </w:rPr>
        <w:br/>
        <w:t>4.3. Mechanizm oddziaływania globalizacji i integracji na rynek pracy</w:t>
      </w:r>
      <w:r>
        <w:rPr>
          <w:rFonts w:ascii="Arial" w:hAnsi="Arial" w:cs="Arial"/>
          <w:color w:val="5A5A5A"/>
          <w:sz w:val="23"/>
          <w:szCs w:val="23"/>
        </w:rPr>
        <w:br/>
        <w:t>4.4. Rola korporacji transnarodowych</w:t>
      </w:r>
      <w:r>
        <w:rPr>
          <w:rFonts w:ascii="Arial" w:hAnsi="Arial" w:cs="Arial"/>
          <w:color w:val="5A5A5A"/>
          <w:sz w:val="23"/>
          <w:szCs w:val="23"/>
        </w:rPr>
        <w:br/>
        <w:t>4.5. Deregulacja rynków pracy</w:t>
      </w:r>
      <w:r>
        <w:rPr>
          <w:rFonts w:ascii="Arial" w:hAnsi="Arial" w:cs="Arial"/>
          <w:color w:val="5A5A5A"/>
          <w:sz w:val="23"/>
          <w:szCs w:val="23"/>
        </w:rPr>
        <w:br/>
        <w:t>4.6. Wątpliwości dotyczące kosztów pracy</w:t>
      </w:r>
      <w:r>
        <w:rPr>
          <w:rFonts w:ascii="Arial" w:hAnsi="Arial" w:cs="Arial"/>
          <w:color w:val="5A5A5A"/>
          <w:sz w:val="23"/>
          <w:szCs w:val="23"/>
        </w:rPr>
        <w:br/>
        <w:t>4.7. Społeczne konsekwencje zmian na rynkach pracy</w:t>
      </w:r>
      <w:r>
        <w:rPr>
          <w:rFonts w:ascii="Arial" w:hAnsi="Arial" w:cs="Arial"/>
          <w:color w:val="5A5A5A"/>
          <w:sz w:val="23"/>
          <w:szCs w:val="23"/>
        </w:rPr>
        <w:br/>
        <w:t>4.8. Przypadek Polski</w:t>
      </w:r>
      <w:r>
        <w:rPr>
          <w:rFonts w:ascii="Arial" w:hAnsi="Arial" w:cs="Arial"/>
          <w:color w:val="5A5A5A"/>
          <w:sz w:val="23"/>
          <w:szCs w:val="23"/>
        </w:rPr>
        <w:br/>
        <w:t>4.9. Podsumowanie</w:t>
      </w:r>
      <w:r>
        <w:rPr>
          <w:rFonts w:ascii="Arial" w:hAnsi="Arial" w:cs="Arial"/>
          <w:color w:val="5A5A5A"/>
          <w:sz w:val="23"/>
          <w:szCs w:val="23"/>
        </w:rPr>
        <w:br/>
        <w:t>Bibliografia</w:t>
      </w:r>
    </w:p>
    <w:p w:rsidR="005D525A" w:rsidRDefault="005D525A" w:rsidP="005D525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Fonts w:ascii="Arial" w:hAnsi="Arial" w:cs="Arial"/>
          <w:color w:val="5A5A5A"/>
          <w:sz w:val="23"/>
          <w:szCs w:val="23"/>
        </w:rPr>
        <w:lastRenderedPageBreak/>
        <w:t> </w:t>
      </w:r>
    </w:p>
    <w:p w:rsidR="005D525A" w:rsidRDefault="005D525A" w:rsidP="005D525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Style w:val="Pogrubienie"/>
          <w:rFonts w:ascii="Arial" w:hAnsi="Arial" w:cs="Arial"/>
          <w:color w:val="5A5A5A"/>
          <w:sz w:val="23"/>
          <w:szCs w:val="23"/>
        </w:rPr>
        <w:t xml:space="preserve">5. System emerytalny w Polsce w kontekście zmian demograficznych Rafał Sieradzki, Michał </w:t>
      </w:r>
      <w:proofErr w:type="spellStart"/>
      <w:r>
        <w:rPr>
          <w:rStyle w:val="Pogrubienie"/>
          <w:rFonts w:ascii="Arial" w:hAnsi="Arial" w:cs="Arial"/>
          <w:color w:val="5A5A5A"/>
          <w:sz w:val="23"/>
          <w:szCs w:val="23"/>
        </w:rPr>
        <w:t>Thlon</w:t>
      </w:r>
      <w:proofErr w:type="spellEnd"/>
      <w:r>
        <w:rPr>
          <w:rStyle w:val="Pogrubienie"/>
          <w:rFonts w:ascii="Arial" w:hAnsi="Arial" w:cs="Arial"/>
          <w:color w:val="5A5A5A"/>
          <w:sz w:val="23"/>
          <w:szCs w:val="23"/>
        </w:rPr>
        <w:t> </w:t>
      </w:r>
      <w:r>
        <w:rPr>
          <w:rFonts w:ascii="Arial" w:hAnsi="Arial" w:cs="Arial"/>
          <w:color w:val="5A5A5A"/>
          <w:sz w:val="23"/>
          <w:szCs w:val="23"/>
        </w:rPr>
        <w:br/>
        <w:t>5.1. Wstęp</w:t>
      </w:r>
      <w:r>
        <w:rPr>
          <w:rFonts w:ascii="Arial" w:hAnsi="Arial" w:cs="Arial"/>
          <w:color w:val="5A5A5A"/>
          <w:sz w:val="23"/>
          <w:szCs w:val="23"/>
        </w:rPr>
        <w:br/>
        <w:t>5.2. Ewolucja i uwarunkowania systemów emerytalnych</w:t>
      </w:r>
      <w:r>
        <w:rPr>
          <w:rFonts w:ascii="Arial" w:hAnsi="Arial" w:cs="Arial"/>
          <w:color w:val="5A5A5A"/>
          <w:sz w:val="23"/>
          <w:szCs w:val="23"/>
        </w:rPr>
        <w:br/>
        <w:t>5.3. Zmiany demograficzne na świecie i ich konsekwencje</w:t>
      </w:r>
      <w:r>
        <w:rPr>
          <w:rFonts w:ascii="Arial" w:hAnsi="Arial" w:cs="Arial"/>
          <w:color w:val="5A5A5A"/>
          <w:sz w:val="23"/>
          <w:szCs w:val="23"/>
        </w:rPr>
        <w:br/>
        <w:t>5.4. Dylematy dotyczące rozwiązań emerytalnych</w:t>
      </w:r>
      <w:r>
        <w:rPr>
          <w:rFonts w:ascii="Arial" w:hAnsi="Arial" w:cs="Arial"/>
          <w:color w:val="5A5A5A"/>
          <w:sz w:val="23"/>
          <w:szCs w:val="23"/>
        </w:rPr>
        <w:br/>
        <w:t>5.5. System emerytalny — przypadek Polski</w:t>
      </w:r>
      <w:r>
        <w:rPr>
          <w:rFonts w:ascii="Arial" w:hAnsi="Arial" w:cs="Arial"/>
          <w:color w:val="5A5A5A"/>
          <w:sz w:val="23"/>
          <w:szCs w:val="23"/>
        </w:rPr>
        <w:br/>
        <w:t>5.5.1. Charakterystyka dotychczasowego systemu</w:t>
      </w:r>
      <w:r>
        <w:rPr>
          <w:rFonts w:ascii="Arial" w:hAnsi="Arial" w:cs="Arial"/>
          <w:color w:val="5A5A5A"/>
          <w:sz w:val="23"/>
          <w:szCs w:val="23"/>
        </w:rPr>
        <w:br/>
        <w:t>5.5.2. Adekwatność dochodowa powszechnego systemu emerytalnego</w:t>
      </w:r>
      <w:r>
        <w:rPr>
          <w:rFonts w:ascii="Arial" w:hAnsi="Arial" w:cs="Arial"/>
          <w:color w:val="5A5A5A"/>
          <w:sz w:val="23"/>
          <w:szCs w:val="23"/>
        </w:rPr>
        <w:br/>
        <w:t>5.5.3. Proponowane rozwiązania</w:t>
      </w:r>
      <w:r>
        <w:rPr>
          <w:rFonts w:ascii="Arial" w:hAnsi="Arial" w:cs="Arial"/>
          <w:color w:val="5A5A5A"/>
          <w:sz w:val="23"/>
          <w:szCs w:val="23"/>
        </w:rPr>
        <w:br/>
        <w:t>5.6. Podsumowanie</w:t>
      </w:r>
      <w:r>
        <w:rPr>
          <w:rFonts w:ascii="Arial" w:hAnsi="Arial" w:cs="Arial"/>
          <w:color w:val="5A5A5A"/>
          <w:sz w:val="23"/>
          <w:szCs w:val="23"/>
        </w:rPr>
        <w:br/>
        <w:t>Bibliografia</w:t>
      </w:r>
    </w:p>
    <w:p w:rsidR="005D525A" w:rsidRDefault="005D525A" w:rsidP="005D525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Fonts w:ascii="Arial" w:hAnsi="Arial" w:cs="Arial"/>
          <w:color w:val="5A5A5A"/>
          <w:sz w:val="23"/>
          <w:szCs w:val="23"/>
        </w:rPr>
        <w:t> </w:t>
      </w:r>
    </w:p>
    <w:p w:rsidR="005D525A" w:rsidRDefault="005D525A" w:rsidP="005D525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Style w:val="Pogrubienie"/>
          <w:rFonts w:ascii="Arial" w:hAnsi="Arial" w:cs="Arial"/>
          <w:color w:val="5A5A5A"/>
          <w:sz w:val="23"/>
          <w:szCs w:val="23"/>
        </w:rPr>
        <w:t xml:space="preserve">6. Globalizacja a sport Mariola </w:t>
      </w:r>
      <w:proofErr w:type="spellStart"/>
      <w:r>
        <w:rPr>
          <w:rStyle w:val="Pogrubienie"/>
          <w:rFonts w:ascii="Arial" w:hAnsi="Arial" w:cs="Arial"/>
          <w:color w:val="5A5A5A"/>
          <w:sz w:val="23"/>
          <w:szCs w:val="23"/>
        </w:rPr>
        <w:t>Mamcarczyk</w:t>
      </w:r>
      <w:proofErr w:type="spellEnd"/>
      <w:r>
        <w:rPr>
          <w:rStyle w:val="Pogrubienie"/>
          <w:rFonts w:ascii="Arial" w:hAnsi="Arial" w:cs="Arial"/>
          <w:color w:val="5A5A5A"/>
          <w:sz w:val="23"/>
          <w:szCs w:val="23"/>
        </w:rPr>
        <w:t> </w:t>
      </w:r>
      <w:r>
        <w:rPr>
          <w:rFonts w:ascii="Arial" w:hAnsi="Arial" w:cs="Arial"/>
          <w:color w:val="5A5A5A"/>
          <w:sz w:val="23"/>
          <w:szCs w:val="23"/>
        </w:rPr>
        <w:br/>
        <w:t>6.1. Wstęp</w:t>
      </w:r>
      <w:r>
        <w:rPr>
          <w:rFonts w:ascii="Arial" w:hAnsi="Arial" w:cs="Arial"/>
          <w:color w:val="5A5A5A"/>
          <w:sz w:val="23"/>
          <w:szCs w:val="23"/>
        </w:rPr>
        <w:br/>
        <w:t>6.2. Sport wyczynowy i rekreacyjny a codzienne funkcjonowanie człowieka</w:t>
      </w:r>
      <w:r>
        <w:rPr>
          <w:rFonts w:ascii="Arial" w:hAnsi="Arial" w:cs="Arial"/>
          <w:color w:val="5A5A5A"/>
          <w:sz w:val="23"/>
          <w:szCs w:val="23"/>
        </w:rPr>
        <w:br/>
        <w:t>6.3. Aktywność sportowa a finanse</w:t>
      </w:r>
      <w:r>
        <w:rPr>
          <w:rFonts w:ascii="Arial" w:hAnsi="Arial" w:cs="Arial"/>
          <w:color w:val="5A5A5A"/>
          <w:sz w:val="23"/>
          <w:szCs w:val="23"/>
        </w:rPr>
        <w:br/>
        <w:t>6.4. Wpływ globalizacji na sport</w:t>
      </w:r>
      <w:r>
        <w:rPr>
          <w:rFonts w:ascii="Arial" w:hAnsi="Arial" w:cs="Arial"/>
          <w:color w:val="5A5A5A"/>
          <w:sz w:val="23"/>
          <w:szCs w:val="23"/>
        </w:rPr>
        <w:br/>
        <w:t>6.5. Etyka sportowa</w:t>
      </w:r>
      <w:r>
        <w:rPr>
          <w:rFonts w:ascii="Arial" w:hAnsi="Arial" w:cs="Arial"/>
          <w:color w:val="5A5A5A"/>
          <w:sz w:val="23"/>
          <w:szCs w:val="23"/>
        </w:rPr>
        <w:br/>
        <w:t>6.6. Podsumowanie</w:t>
      </w:r>
      <w:r>
        <w:rPr>
          <w:rFonts w:ascii="Arial" w:hAnsi="Arial" w:cs="Arial"/>
          <w:color w:val="5A5A5A"/>
          <w:sz w:val="23"/>
          <w:szCs w:val="23"/>
        </w:rPr>
        <w:br/>
        <w:t>Bibliografia</w:t>
      </w:r>
    </w:p>
    <w:p w:rsidR="005D525A" w:rsidRDefault="005D525A" w:rsidP="005D525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Fonts w:ascii="Arial" w:hAnsi="Arial" w:cs="Arial"/>
          <w:color w:val="5A5A5A"/>
          <w:sz w:val="23"/>
          <w:szCs w:val="23"/>
        </w:rPr>
        <w:t> </w:t>
      </w:r>
    </w:p>
    <w:p w:rsidR="005D525A" w:rsidRDefault="005D525A" w:rsidP="005D525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Style w:val="Pogrubienie"/>
          <w:rFonts w:ascii="Arial" w:hAnsi="Arial" w:cs="Arial"/>
          <w:color w:val="5A5A5A"/>
          <w:sz w:val="23"/>
          <w:szCs w:val="23"/>
        </w:rPr>
        <w:t xml:space="preserve">7. Koncepcja nowego jedwabnego szlaku jako element chińskiej strategii „Go Global” Dominika </w:t>
      </w:r>
      <w:proofErr w:type="spellStart"/>
      <w:r>
        <w:rPr>
          <w:rStyle w:val="Pogrubienie"/>
          <w:rFonts w:ascii="Arial" w:hAnsi="Arial" w:cs="Arial"/>
          <w:color w:val="5A5A5A"/>
          <w:sz w:val="23"/>
          <w:szCs w:val="23"/>
        </w:rPr>
        <w:t>Choroś-Mrozowska</w:t>
      </w:r>
      <w:proofErr w:type="spellEnd"/>
      <w:r>
        <w:rPr>
          <w:rStyle w:val="Pogrubienie"/>
          <w:rFonts w:ascii="Arial" w:hAnsi="Arial" w:cs="Arial"/>
          <w:color w:val="5A5A5A"/>
          <w:sz w:val="23"/>
          <w:szCs w:val="23"/>
        </w:rPr>
        <w:t xml:space="preserve">, David </w:t>
      </w:r>
      <w:proofErr w:type="spellStart"/>
      <w:r>
        <w:rPr>
          <w:rStyle w:val="Pogrubienie"/>
          <w:rFonts w:ascii="Arial" w:hAnsi="Arial" w:cs="Arial"/>
          <w:color w:val="5A5A5A"/>
          <w:sz w:val="23"/>
          <w:szCs w:val="23"/>
        </w:rPr>
        <w:t>Clowes</w:t>
      </w:r>
      <w:proofErr w:type="spellEnd"/>
      <w:r>
        <w:rPr>
          <w:rStyle w:val="Pogrubienie"/>
          <w:rFonts w:ascii="Arial" w:hAnsi="Arial" w:cs="Arial"/>
          <w:color w:val="5A5A5A"/>
          <w:sz w:val="23"/>
          <w:szCs w:val="23"/>
        </w:rPr>
        <w:t> </w:t>
      </w:r>
      <w:r>
        <w:rPr>
          <w:rFonts w:ascii="Arial" w:hAnsi="Arial" w:cs="Arial"/>
          <w:color w:val="5A5A5A"/>
          <w:sz w:val="23"/>
          <w:szCs w:val="23"/>
        </w:rPr>
        <w:br/>
        <w:t>7.1. Wstęp</w:t>
      </w:r>
      <w:r>
        <w:rPr>
          <w:rFonts w:ascii="Arial" w:hAnsi="Arial" w:cs="Arial"/>
          <w:color w:val="5A5A5A"/>
          <w:sz w:val="23"/>
          <w:szCs w:val="23"/>
        </w:rPr>
        <w:br/>
        <w:t>7.2. Globalizacja z chińską „twarzą”</w:t>
      </w:r>
      <w:r>
        <w:rPr>
          <w:rFonts w:ascii="Arial" w:hAnsi="Arial" w:cs="Arial"/>
          <w:color w:val="5A5A5A"/>
          <w:sz w:val="23"/>
          <w:szCs w:val="23"/>
        </w:rPr>
        <w:br/>
        <w:t>7.3. Chińska koncepcja Nowego Jedwabnego Szlaku</w:t>
      </w:r>
      <w:r>
        <w:rPr>
          <w:rFonts w:ascii="Arial" w:hAnsi="Arial" w:cs="Arial"/>
          <w:color w:val="5A5A5A"/>
          <w:sz w:val="23"/>
          <w:szCs w:val="23"/>
        </w:rPr>
        <w:br/>
        <w:t>7.4. Nowy Jedwabny Szlak — korzyści i koszty dla gospodarki chińskiej</w:t>
      </w:r>
      <w:r>
        <w:rPr>
          <w:rFonts w:ascii="Arial" w:hAnsi="Arial" w:cs="Arial"/>
          <w:color w:val="5A5A5A"/>
          <w:sz w:val="23"/>
          <w:szCs w:val="23"/>
        </w:rPr>
        <w:br/>
        <w:t>7.5. Nowy Jedwabny Szlak w perspektywie regionalnej i globalnej</w:t>
      </w:r>
      <w:r>
        <w:rPr>
          <w:rFonts w:ascii="Arial" w:hAnsi="Arial" w:cs="Arial"/>
          <w:color w:val="5A5A5A"/>
          <w:sz w:val="23"/>
          <w:szCs w:val="23"/>
        </w:rPr>
        <w:br/>
        <w:t>7.6. Podsumowanie</w:t>
      </w:r>
      <w:r>
        <w:rPr>
          <w:rFonts w:ascii="Arial" w:hAnsi="Arial" w:cs="Arial"/>
          <w:color w:val="5A5A5A"/>
          <w:sz w:val="23"/>
          <w:szCs w:val="23"/>
        </w:rPr>
        <w:br/>
        <w:t>Bibliografia</w:t>
      </w:r>
    </w:p>
    <w:p w:rsidR="006F0FC5" w:rsidRDefault="006F0FC5"/>
    <w:sectPr w:rsidR="006F0FC5" w:rsidSect="006F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525A"/>
    <w:rsid w:val="005D525A"/>
    <w:rsid w:val="006F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52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2019-08-05T09:55:00Z</dcterms:created>
  <dcterms:modified xsi:type="dcterms:W3CDTF">2019-08-05T09:56:00Z</dcterms:modified>
</cp:coreProperties>
</file>